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89CA9" w14:textId="7D549EDB" w:rsidR="00B10B88" w:rsidRPr="00755EC6" w:rsidRDefault="00B577E9" w:rsidP="000356D2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F28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39D1" w:rsidRPr="00755EC6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73FED855" w14:textId="77777777" w:rsidR="00ED39D1" w:rsidRPr="00755EC6" w:rsidRDefault="007320D7" w:rsidP="0003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6">
        <w:rPr>
          <w:rFonts w:ascii="Times New Roman" w:hAnsi="Times New Roman" w:cs="Times New Roman"/>
          <w:b/>
          <w:sz w:val="28"/>
          <w:szCs w:val="28"/>
        </w:rPr>
        <w:t>к</w:t>
      </w:r>
      <w:r w:rsidR="00ED39D1" w:rsidRPr="00755EC6">
        <w:rPr>
          <w:rFonts w:ascii="Times New Roman" w:hAnsi="Times New Roman" w:cs="Times New Roman"/>
          <w:b/>
          <w:sz w:val="28"/>
          <w:szCs w:val="28"/>
        </w:rPr>
        <w:t xml:space="preserve"> проекту Закона Кыргызской Республики</w:t>
      </w:r>
    </w:p>
    <w:p w14:paraId="5717D16D" w14:textId="77777777" w:rsidR="00893874" w:rsidRDefault="00ED39D1" w:rsidP="00035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C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EC442D" w:rsidRPr="00755EC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некоторые законодательные акты </w:t>
      </w:r>
      <w:r w:rsidRPr="00755EC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755EC6">
        <w:rPr>
          <w:rFonts w:ascii="Times New Roman" w:hAnsi="Times New Roman" w:cs="Times New Roman"/>
          <w:sz w:val="28"/>
          <w:szCs w:val="28"/>
        </w:rPr>
        <w:t>»</w:t>
      </w:r>
      <w:r w:rsidR="00FD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E2606" w14:textId="7F50BAB6" w:rsidR="00755EC6" w:rsidRPr="00755EC6" w:rsidRDefault="00755EC6" w:rsidP="0003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EC6">
        <w:rPr>
          <w:rFonts w:ascii="Times New Roman" w:hAnsi="Times New Roman" w:cs="Times New Roman"/>
          <w:b/>
          <w:sz w:val="28"/>
          <w:szCs w:val="28"/>
        </w:rPr>
        <w:t>(Гражданский процессуальный кодекс 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5EC6">
        <w:rPr>
          <w:rFonts w:ascii="Times New Roman" w:hAnsi="Times New Roman" w:cs="Times New Roman"/>
          <w:b/>
          <w:sz w:val="28"/>
          <w:szCs w:val="28"/>
        </w:rPr>
        <w:t xml:space="preserve">Административно-процессуальный кодекс </w:t>
      </w:r>
      <w:proofErr w:type="gramEnd"/>
    </w:p>
    <w:p w14:paraId="23C57272" w14:textId="77777777" w:rsidR="00755EC6" w:rsidRPr="00755EC6" w:rsidRDefault="00755EC6" w:rsidP="0003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EC6">
        <w:rPr>
          <w:rFonts w:ascii="Times New Roman" w:hAnsi="Times New Roman" w:cs="Times New Roman"/>
          <w:b/>
          <w:sz w:val="28"/>
          <w:szCs w:val="28"/>
        </w:rPr>
        <w:t>Кыргызской Республики)</w:t>
      </w:r>
      <w:proofErr w:type="gramEnd"/>
    </w:p>
    <w:p w14:paraId="68C45714" w14:textId="77777777" w:rsidR="00755EC6" w:rsidRPr="00755EC6" w:rsidRDefault="00755EC6" w:rsidP="00035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89F14" w14:textId="77777777" w:rsidR="007320D7" w:rsidRPr="00755EC6" w:rsidRDefault="00334B84" w:rsidP="000356D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20D7" w:rsidRPr="00755EC6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14:paraId="68D04558" w14:textId="737DB68C" w:rsidR="00893874" w:rsidRDefault="00F4750E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C6">
        <w:rPr>
          <w:rFonts w:ascii="Times New Roman" w:hAnsi="Times New Roman" w:cs="Times New Roman"/>
          <w:sz w:val="28"/>
          <w:szCs w:val="28"/>
        </w:rPr>
        <w:t xml:space="preserve">Проект Закона Кыргызской Республики «О внесении изменений в </w:t>
      </w:r>
      <w:r w:rsidR="00EC442D" w:rsidRPr="00755EC6">
        <w:rPr>
          <w:rFonts w:ascii="Times New Roman" w:hAnsi="Times New Roman" w:cs="Times New Roman"/>
          <w:sz w:val="28"/>
          <w:szCs w:val="28"/>
          <w:lang w:val="ky-KG"/>
        </w:rPr>
        <w:t>некоторые законодательные акты</w:t>
      </w:r>
      <w:r w:rsidRPr="00755EC6">
        <w:rPr>
          <w:rFonts w:ascii="Times New Roman" w:hAnsi="Times New Roman" w:cs="Times New Roman"/>
          <w:sz w:val="28"/>
          <w:szCs w:val="28"/>
        </w:rPr>
        <w:t xml:space="preserve"> Кыргызской Республики» </w:t>
      </w:r>
      <w:r w:rsidR="00FA6674" w:rsidRPr="00755E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C442D" w:rsidRPr="00755EC6">
        <w:rPr>
          <w:rFonts w:ascii="Times New Roman" w:hAnsi="Times New Roman" w:cs="Times New Roman"/>
          <w:sz w:val="28"/>
          <w:szCs w:val="28"/>
        </w:rPr>
        <w:t>–</w:t>
      </w:r>
      <w:r w:rsidR="00FA6674" w:rsidRPr="00755EC6">
        <w:rPr>
          <w:rFonts w:ascii="Times New Roman" w:hAnsi="Times New Roman" w:cs="Times New Roman"/>
          <w:sz w:val="28"/>
          <w:szCs w:val="28"/>
        </w:rPr>
        <w:t xml:space="preserve"> ГПК</w:t>
      </w:r>
      <w:r w:rsidR="000510A5" w:rsidRPr="00755EC6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="00EC442D" w:rsidRPr="00755EC6">
        <w:rPr>
          <w:rFonts w:ascii="Times New Roman" w:hAnsi="Times New Roman" w:cs="Times New Roman"/>
          <w:sz w:val="28"/>
          <w:szCs w:val="28"/>
          <w:lang w:val="ky-KG"/>
        </w:rPr>
        <w:t xml:space="preserve"> АПК</w:t>
      </w:r>
      <w:r w:rsidR="00FA6674" w:rsidRPr="00755EC6">
        <w:rPr>
          <w:rFonts w:ascii="Times New Roman" w:hAnsi="Times New Roman" w:cs="Times New Roman"/>
          <w:sz w:val="28"/>
          <w:szCs w:val="28"/>
        </w:rPr>
        <w:t xml:space="preserve">) </w:t>
      </w:r>
      <w:r w:rsidR="00264EAC" w:rsidRPr="00264EAC">
        <w:rPr>
          <w:rFonts w:ascii="Times New Roman" w:hAnsi="Times New Roman" w:cs="Times New Roman"/>
          <w:sz w:val="28"/>
          <w:szCs w:val="28"/>
        </w:rPr>
        <w:t>имеет целью совершенствовани</w:t>
      </w:r>
      <w:r w:rsidR="00852FF1">
        <w:rPr>
          <w:rFonts w:ascii="Times New Roman" w:hAnsi="Times New Roman" w:cs="Times New Roman"/>
          <w:sz w:val="28"/>
          <w:szCs w:val="28"/>
        </w:rPr>
        <w:t>я</w:t>
      </w:r>
      <w:r w:rsidR="00264EAC" w:rsidRPr="00264EAC">
        <w:rPr>
          <w:rFonts w:ascii="Times New Roman" w:hAnsi="Times New Roman" w:cs="Times New Roman"/>
          <w:sz w:val="28"/>
          <w:szCs w:val="28"/>
        </w:rPr>
        <w:t xml:space="preserve"> судебной системы и улучшение доступа граждан к </w:t>
      </w:r>
      <w:r w:rsidR="00264EAC">
        <w:rPr>
          <w:rFonts w:ascii="Times New Roman" w:hAnsi="Times New Roman" w:cs="Times New Roman"/>
          <w:sz w:val="28"/>
          <w:szCs w:val="28"/>
        </w:rPr>
        <w:t>правосудию</w:t>
      </w:r>
      <w:r w:rsidR="00264EAC" w:rsidRPr="00264EAC">
        <w:rPr>
          <w:rFonts w:ascii="Times New Roman" w:hAnsi="Times New Roman" w:cs="Times New Roman"/>
          <w:sz w:val="28"/>
          <w:szCs w:val="28"/>
        </w:rPr>
        <w:t xml:space="preserve"> через использование современных цифровых технологий. В основе </w:t>
      </w:r>
      <w:r w:rsidR="00264EAC">
        <w:rPr>
          <w:rFonts w:ascii="Times New Roman" w:hAnsi="Times New Roman" w:cs="Times New Roman"/>
          <w:sz w:val="28"/>
          <w:szCs w:val="28"/>
        </w:rPr>
        <w:t>данного проекта Закона</w:t>
      </w:r>
      <w:r w:rsidR="00264EAC" w:rsidRPr="00264EAC">
        <w:rPr>
          <w:rFonts w:ascii="Times New Roman" w:hAnsi="Times New Roman" w:cs="Times New Roman"/>
          <w:sz w:val="28"/>
          <w:szCs w:val="28"/>
        </w:rPr>
        <w:t xml:space="preserve"> лежит стремление </w:t>
      </w:r>
      <w:r w:rsidR="00264EAC">
        <w:rPr>
          <w:rFonts w:ascii="Times New Roman" w:hAnsi="Times New Roman" w:cs="Times New Roman"/>
          <w:sz w:val="28"/>
          <w:szCs w:val="28"/>
        </w:rPr>
        <w:t xml:space="preserve">повысить доверие граждан к судебной системе, в том числе через </w:t>
      </w:r>
      <w:r w:rsidR="00FF4E9D">
        <w:rPr>
          <w:rFonts w:ascii="Times New Roman" w:hAnsi="Times New Roman" w:cs="Times New Roman"/>
          <w:sz w:val="28"/>
          <w:szCs w:val="28"/>
        </w:rPr>
        <w:t>облегч</w:t>
      </w:r>
      <w:r w:rsidR="00264EAC">
        <w:rPr>
          <w:rFonts w:ascii="Times New Roman" w:hAnsi="Times New Roman" w:cs="Times New Roman"/>
          <w:sz w:val="28"/>
          <w:szCs w:val="28"/>
        </w:rPr>
        <w:t>ение</w:t>
      </w:r>
      <w:r w:rsidR="00FF4E9D" w:rsidRPr="00755EC6">
        <w:rPr>
          <w:rFonts w:ascii="Times New Roman" w:hAnsi="Times New Roman" w:cs="Times New Roman"/>
          <w:sz w:val="28"/>
          <w:szCs w:val="28"/>
        </w:rPr>
        <w:t xml:space="preserve"> дос</w:t>
      </w:r>
      <w:r w:rsidR="00FF4E9D">
        <w:rPr>
          <w:rFonts w:ascii="Times New Roman" w:hAnsi="Times New Roman" w:cs="Times New Roman"/>
          <w:sz w:val="28"/>
          <w:szCs w:val="28"/>
        </w:rPr>
        <w:t>туп</w:t>
      </w:r>
      <w:r w:rsidR="00264EAC">
        <w:rPr>
          <w:rFonts w:ascii="Times New Roman" w:hAnsi="Times New Roman" w:cs="Times New Roman"/>
          <w:sz w:val="28"/>
          <w:szCs w:val="28"/>
        </w:rPr>
        <w:t>а</w:t>
      </w:r>
      <w:r w:rsidR="00FF4E9D">
        <w:rPr>
          <w:rFonts w:ascii="Times New Roman" w:hAnsi="Times New Roman" w:cs="Times New Roman"/>
          <w:sz w:val="28"/>
          <w:szCs w:val="28"/>
        </w:rPr>
        <w:t xml:space="preserve"> граждан страны к правосудию и</w:t>
      </w:r>
      <w:r w:rsidR="00FF4E9D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FF4E9D">
        <w:rPr>
          <w:rFonts w:ascii="Times New Roman" w:hAnsi="Times New Roman" w:cs="Times New Roman"/>
          <w:sz w:val="28"/>
          <w:szCs w:val="28"/>
        </w:rPr>
        <w:t>обеспеч</w:t>
      </w:r>
      <w:r w:rsidR="005478B3">
        <w:rPr>
          <w:rFonts w:ascii="Times New Roman" w:hAnsi="Times New Roman" w:cs="Times New Roman"/>
          <w:sz w:val="28"/>
          <w:szCs w:val="28"/>
        </w:rPr>
        <w:t>ения</w:t>
      </w:r>
      <w:r w:rsidR="00FF4E9D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5478B3">
        <w:rPr>
          <w:rFonts w:ascii="Times New Roman" w:hAnsi="Times New Roman" w:cs="Times New Roman"/>
          <w:sz w:val="28"/>
          <w:szCs w:val="28"/>
        </w:rPr>
        <w:t>а</w:t>
      </w:r>
      <w:r w:rsidR="00FF4E9D">
        <w:rPr>
          <w:rFonts w:ascii="Times New Roman" w:hAnsi="Times New Roman" w:cs="Times New Roman"/>
          <w:sz w:val="28"/>
          <w:szCs w:val="28"/>
        </w:rPr>
        <w:t xml:space="preserve"> </w:t>
      </w:r>
      <w:r w:rsidR="00FF4E9D" w:rsidRPr="00755EC6">
        <w:rPr>
          <w:rFonts w:ascii="Times New Roman" w:hAnsi="Times New Roman" w:cs="Times New Roman"/>
          <w:sz w:val="28"/>
          <w:szCs w:val="28"/>
        </w:rPr>
        <w:t>процесс</w:t>
      </w:r>
      <w:r w:rsidR="00FF4E9D">
        <w:rPr>
          <w:rFonts w:ascii="Times New Roman" w:hAnsi="Times New Roman" w:cs="Times New Roman"/>
          <w:sz w:val="28"/>
          <w:szCs w:val="28"/>
        </w:rPr>
        <w:t>уальных</w:t>
      </w:r>
      <w:r w:rsidR="00FF4E9D" w:rsidRPr="00755EC6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F4E9D">
        <w:rPr>
          <w:rFonts w:ascii="Times New Roman" w:hAnsi="Times New Roman" w:cs="Times New Roman"/>
          <w:sz w:val="28"/>
          <w:szCs w:val="28"/>
        </w:rPr>
        <w:t>й</w:t>
      </w:r>
      <w:r w:rsidR="00FF4E9D" w:rsidRPr="00755EC6">
        <w:rPr>
          <w:rFonts w:ascii="Times New Roman" w:hAnsi="Times New Roman" w:cs="Times New Roman"/>
          <w:sz w:val="28"/>
          <w:szCs w:val="28"/>
        </w:rPr>
        <w:t xml:space="preserve"> по гражданским и </w:t>
      </w:r>
      <w:r w:rsidR="00FF4E9D" w:rsidRPr="00755EC6">
        <w:rPr>
          <w:rFonts w:ascii="Times New Roman" w:hAnsi="Times New Roman" w:cs="Times New Roman"/>
          <w:sz w:val="28"/>
          <w:szCs w:val="28"/>
          <w:lang w:val="ky-KG"/>
        </w:rPr>
        <w:t>административным</w:t>
      </w:r>
      <w:r w:rsidR="00FF4E9D">
        <w:rPr>
          <w:rFonts w:ascii="Times New Roman" w:hAnsi="Times New Roman" w:cs="Times New Roman"/>
          <w:sz w:val="28"/>
          <w:szCs w:val="28"/>
        </w:rPr>
        <w:t xml:space="preserve"> делам. </w:t>
      </w:r>
    </w:p>
    <w:p w14:paraId="48F1EE23" w14:textId="63B5BF63" w:rsidR="00C11C50" w:rsidRPr="00755EC6" w:rsidRDefault="00A545CD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данной цели з</w:t>
      </w:r>
      <w:r w:rsidR="00C11C50" w:rsidRPr="00755EC6">
        <w:rPr>
          <w:rFonts w:ascii="Times New Roman" w:hAnsi="Times New Roman" w:cs="Times New Roman"/>
          <w:sz w:val="28"/>
          <w:szCs w:val="28"/>
        </w:rPr>
        <w:t xml:space="preserve">аконопроект </w:t>
      </w:r>
      <w:r w:rsidR="00F264D9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C11C50" w:rsidRPr="00755EC6">
        <w:rPr>
          <w:rFonts w:ascii="Times New Roman" w:hAnsi="Times New Roman" w:cs="Times New Roman"/>
          <w:sz w:val="28"/>
          <w:szCs w:val="28"/>
        </w:rPr>
        <w:t>решает</w:t>
      </w:r>
      <w:proofErr w:type="gramEnd"/>
      <w:r w:rsidR="00C11C50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264EAC">
        <w:rPr>
          <w:rFonts w:ascii="Times New Roman" w:hAnsi="Times New Roman" w:cs="Times New Roman"/>
          <w:sz w:val="28"/>
          <w:szCs w:val="28"/>
        </w:rPr>
        <w:t>следующие</w:t>
      </w:r>
      <w:r w:rsidR="00C11C50" w:rsidRPr="00755E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64EAC">
        <w:rPr>
          <w:rFonts w:ascii="Times New Roman" w:hAnsi="Times New Roman" w:cs="Times New Roman"/>
          <w:sz w:val="28"/>
          <w:szCs w:val="28"/>
        </w:rPr>
        <w:t>и</w:t>
      </w:r>
      <w:r w:rsidR="00C11C50" w:rsidRPr="00755EC6">
        <w:rPr>
          <w:rFonts w:ascii="Times New Roman" w:hAnsi="Times New Roman" w:cs="Times New Roman"/>
          <w:sz w:val="28"/>
          <w:szCs w:val="28"/>
        </w:rPr>
        <w:t>:</w:t>
      </w:r>
    </w:p>
    <w:p w14:paraId="04499DC5" w14:textId="4254B7EE" w:rsidR="00C11C50" w:rsidRPr="00755EC6" w:rsidRDefault="00264EAC" w:rsidP="000356D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A545CD">
        <w:rPr>
          <w:rFonts w:ascii="Times New Roman" w:hAnsi="Times New Roman" w:cs="Times New Roman"/>
          <w:sz w:val="28"/>
          <w:szCs w:val="28"/>
        </w:rPr>
        <w:t xml:space="preserve"> необходимых правовых условий для</w:t>
      </w:r>
      <w:r w:rsidR="00020C69">
        <w:rPr>
          <w:rFonts w:ascii="Times New Roman" w:hAnsi="Times New Roman" w:cs="Times New Roman"/>
          <w:sz w:val="28"/>
          <w:szCs w:val="28"/>
        </w:rPr>
        <w:t xml:space="preserve"> </w:t>
      </w:r>
      <w:r w:rsidR="00BB4940">
        <w:rPr>
          <w:rFonts w:ascii="Times New Roman" w:hAnsi="Times New Roman" w:cs="Times New Roman"/>
          <w:sz w:val="28"/>
          <w:szCs w:val="28"/>
        </w:rPr>
        <w:t>внедрения</w:t>
      </w:r>
      <w:r w:rsidR="00A545CD">
        <w:rPr>
          <w:rFonts w:ascii="Times New Roman" w:hAnsi="Times New Roman" w:cs="Times New Roman"/>
          <w:sz w:val="28"/>
          <w:szCs w:val="28"/>
        </w:rPr>
        <w:t xml:space="preserve"> </w:t>
      </w:r>
      <w:r w:rsidR="007A518F" w:rsidRPr="00755EC6">
        <w:rPr>
          <w:rFonts w:ascii="Times New Roman" w:hAnsi="Times New Roman" w:cs="Times New Roman"/>
          <w:sz w:val="28"/>
          <w:szCs w:val="28"/>
        </w:rPr>
        <w:t>нов</w:t>
      </w:r>
      <w:r w:rsidR="00020C69">
        <w:rPr>
          <w:rFonts w:ascii="Times New Roman" w:hAnsi="Times New Roman" w:cs="Times New Roman"/>
          <w:sz w:val="28"/>
          <w:szCs w:val="28"/>
        </w:rPr>
        <w:t>ой</w:t>
      </w:r>
      <w:r w:rsidR="00516E4C">
        <w:rPr>
          <w:rFonts w:ascii="Times New Roman" w:hAnsi="Times New Roman" w:cs="Times New Roman"/>
          <w:sz w:val="28"/>
          <w:szCs w:val="28"/>
        </w:rPr>
        <w:t xml:space="preserve"> </w:t>
      </w:r>
      <w:r w:rsidR="009D2578">
        <w:rPr>
          <w:rFonts w:ascii="Times New Roman" w:hAnsi="Times New Roman" w:cs="Times New Roman"/>
          <w:sz w:val="28"/>
          <w:szCs w:val="28"/>
        </w:rPr>
        <w:t>форм</w:t>
      </w:r>
      <w:r w:rsidR="00020C69">
        <w:rPr>
          <w:rFonts w:ascii="Times New Roman" w:hAnsi="Times New Roman" w:cs="Times New Roman"/>
          <w:sz w:val="28"/>
          <w:szCs w:val="28"/>
        </w:rPr>
        <w:t>ы</w:t>
      </w:r>
      <w:r w:rsidR="009D2578">
        <w:rPr>
          <w:rFonts w:ascii="Times New Roman" w:hAnsi="Times New Roman" w:cs="Times New Roman"/>
          <w:sz w:val="28"/>
          <w:szCs w:val="28"/>
        </w:rPr>
        <w:t xml:space="preserve"> судопроизводства</w:t>
      </w:r>
      <w:r w:rsidR="00A545CD">
        <w:rPr>
          <w:rFonts w:ascii="Times New Roman" w:hAnsi="Times New Roman" w:cs="Times New Roman"/>
          <w:sz w:val="28"/>
          <w:szCs w:val="28"/>
        </w:rPr>
        <w:t xml:space="preserve"> – цифровой</w:t>
      </w:r>
      <w:r w:rsidR="00526660">
        <w:rPr>
          <w:rFonts w:ascii="Times New Roman" w:hAnsi="Times New Roman" w:cs="Times New Roman"/>
          <w:sz w:val="28"/>
          <w:szCs w:val="28"/>
        </w:rPr>
        <w:t>, которая</w:t>
      </w:r>
      <w:r w:rsidR="001B0B77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5478B3" w:rsidRPr="005478B3">
        <w:rPr>
          <w:rFonts w:ascii="Times New Roman" w:hAnsi="Times New Roman" w:cs="Times New Roman"/>
          <w:sz w:val="28"/>
          <w:szCs w:val="28"/>
        </w:rPr>
        <w:t>ускоря</w:t>
      </w:r>
      <w:r w:rsidR="005478B3">
        <w:rPr>
          <w:rFonts w:ascii="Times New Roman" w:hAnsi="Times New Roman" w:cs="Times New Roman"/>
          <w:sz w:val="28"/>
          <w:szCs w:val="28"/>
        </w:rPr>
        <w:t>ет</w:t>
      </w:r>
      <w:r w:rsidR="005478B3" w:rsidRPr="005478B3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5478B3">
        <w:rPr>
          <w:rFonts w:ascii="Times New Roman" w:hAnsi="Times New Roman" w:cs="Times New Roman"/>
          <w:sz w:val="28"/>
          <w:szCs w:val="28"/>
        </w:rPr>
        <w:t xml:space="preserve">рассмотрения дел и </w:t>
      </w:r>
      <w:r w:rsidR="005478B3" w:rsidRPr="005478B3">
        <w:rPr>
          <w:rFonts w:ascii="Times New Roman" w:hAnsi="Times New Roman" w:cs="Times New Roman"/>
          <w:sz w:val="28"/>
          <w:szCs w:val="28"/>
        </w:rPr>
        <w:t>принятия решений</w:t>
      </w:r>
      <w:r w:rsidR="005478B3">
        <w:rPr>
          <w:rFonts w:ascii="Times New Roman" w:hAnsi="Times New Roman" w:cs="Times New Roman"/>
          <w:sz w:val="28"/>
          <w:szCs w:val="28"/>
        </w:rPr>
        <w:t xml:space="preserve">, </w:t>
      </w:r>
      <w:r w:rsidR="000319C5" w:rsidRPr="00755EC6">
        <w:rPr>
          <w:rFonts w:ascii="Times New Roman" w:hAnsi="Times New Roman" w:cs="Times New Roman"/>
          <w:sz w:val="28"/>
          <w:szCs w:val="28"/>
        </w:rPr>
        <w:t xml:space="preserve">вносит альтернативу </w:t>
      </w:r>
      <w:r w:rsidR="00410FC8" w:rsidRPr="00755EC6">
        <w:rPr>
          <w:rFonts w:ascii="Times New Roman" w:hAnsi="Times New Roman" w:cs="Times New Roman"/>
          <w:sz w:val="28"/>
          <w:szCs w:val="28"/>
        </w:rPr>
        <w:t>традиционн</w:t>
      </w:r>
      <w:r w:rsidR="000319C5" w:rsidRPr="00755EC6">
        <w:rPr>
          <w:rFonts w:ascii="Times New Roman" w:hAnsi="Times New Roman" w:cs="Times New Roman"/>
          <w:sz w:val="28"/>
          <w:szCs w:val="28"/>
        </w:rPr>
        <w:t>ой</w:t>
      </w:r>
      <w:r w:rsidR="00410FC8" w:rsidRPr="00755EC6">
        <w:rPr>
          <w:rFonts w:ascii="Times New Roman" w:hAnsi="Times New Roman" w:cs="Times New Roman"/>
          <w:sz w:val="28"/>
          <w:szCs w:val="28"/>
        </w:rPr>
        <w:t xml:space="preserve"> обязательност</w:t>
      </w:r>
      <w:r w:rsidR="000319C5" w:rsidRPr="00755EC6">
        <w:rPr>
          <w:rFonts w:ascii="Times New Roman" w:hAnsi="Times New Roman" w:cs="Times New Roman"/>
          <w:sz w:val="28"/>
          <w:szCs w:val="28"/>
        </w:rPr>
        <w:t>и</w:t>
      </w:r>
      <w:r w:rsidR="00410FC8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1B0B77" w:rsidRPr="00755EC6">
        <w:rPr>
          <w:rFonts w:ascii="Times New Roman" w:hAnsi="Times New Roman" w:cs="Times New Roman"/>
          <w:sz w:val="28"/>
          <w:szCs w:val="28"/>
        </w:rPr>
        <w:t>бумажны</w:t>
      </w:r>
      <w:r w:rsidR="00410FC8" w:rsidRPr="00755EC6">
        <w:rPr>
          <w:rFonts w:ascii="Times New Roman" w:hAnsi="Times New Roman" w:cs="Times New Roman"/>
          <w:sz w:val="28"/>
          <w:szCs w:val="28"/>
        </w:rPr>
        <w:t>х</w:t>
      </w:r>
      <w:r w:rsidR="001B0B77" w:rsidRPr="00755EC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B6B0F" w:rsidRPr="00755EC6">
        <w:rPr>
          <w:rFonts w:ascii="Times New Roman" w:hAnsi="Times New Roman" w:cs="Times New Roman"/>
          <w:sz w:val="28"/>
          <w:szCs w:val="28"/>
        </w:rPr>
        <w:t xml:space="preserve">ов, как при подаче иска, так и при всех последующих документально подтверждаемых действиях </w:t>
      </w:r>
      <w:r w:rsidR="00464526" w:rsidRPr="00755EC6">
        <w:rPr>
          <w:rFonts w:ascii="Times New Roman" w:hAnsi="Times New Roman" w:cs="Times New Roman"/>
          <w:sz w:val="28"/>
          <w:szCs w:val="28"/>
        </w:rPr>
        <w:t xml:space="preserve">и инициативах </w:t>
      </w:r>
      <w:r w:rsidR="0005383C" w:rsidRPr="00755EC6">
        <w:rPr>
          <w:rFonts w:ascii="Times New Roman" w:hAnsi="Times New Roman" w:cs="Times New Roman"/>
          <w:sz w:val="28"/>
          <w:szCs w:val="28"/>
        </w:rPr>
        <w:t>участников гражданского и административного судопроизводства</w:t>
      </w:r>
      <w:r w:rsidR="00A36AD8" w:rsidRPr="00755EC6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6A72B4" w:rsidRPr="00755EC6">
        <w:rPr>
          <w:rFonts w:ascii="Times New Roman" w:hAnsi="Times New Roman" w:cs="Times New Roman"/>
          <w:sz w:val="28"/>
          <w:szCs w:val="28"/>
        </w:rPr>
        <w:t>м</w:t>
      </w:r>
      <w:r w:rsidR="00362766" w:rsidRPr="00755EC6">
        <w:rPr>
          <w:rFonts w:ascii="Times New Roman" w:hAnsi="Times New Roman" w:cs="Times New Roman"/>
          <w:sz w:val="28"/>
          <w:szCs w:val="28"/>
        </w:rPr>
        <w:t>ини</w:t>
      </w:r>
      <w:r w:rsidR="00366F62" w:rsidRPr="00755EC6">
        <w:rPr>
          <w:rFonts w:ascii="Times New Roman" w:hAnsi="Times New Roman" w:cs="Times New Roman"/>
          <w:sz w:val="28"/>
          <w:szCs w:val="28"/>
        </w:rPr>
        <w:t>мизир</w:t>
      </w:r>
      <w:r w:rsidR="00207A70">
        <w:rPr>
          <w:rFonts w:ascii="Times New Roman" w:hAnsi="Times New Roman" w:cs="Times New Roman"/>
          <w:sz w:val="28"/>
          <w:szCs w:val="28"/>
        </w:rPr>
        <w:t>ую</w:t>
      </w:r>
      <w:r w:rsidR="00A36AD8" w:rsidRPr="00755EC6">
        <w:rPr>
          <w:rFonts w:ascii="Times New Roman" w:hAnsi="Times New Roman" w:cs="Times New Roman"/>
          <w:sz w:val="28"/>
          <w:szCs w:val="28"/>
        </w:rPr>
        <w:t>тся</w:t>
      </w:r>
      <w:r w:rsidR="00366F62" w:rsidRPr="00755EC6">
        <w:rPr>
          <w:rFonts w:ascii="Times New Roman" w:hAnsi="Times New Roman" w:cs="Times New Roman"/>
          <w:sz w:val="28"/>
          <w:szCs w:val="28"/>
        </w:rPr>
        <w:t xml:space="preserve">, а в последующем </w:t>
      </w:r>
      <w:r w:rsidR="006A72B4" w:rsidRPr="00755EC6">
        <w:rPr>
          <w:rFonts w:ascii="Times New Roman" w:hAnsi="Times New Roman" w:cs="Times New Roman"/>
          <w:sz w:val="28"/>
          <w:szCs w:val="28"/>
        </w:rPr>
        <w:t xml:space="preserve">– </w:t>
      </w:r>
      <w:r w:rsidR="00366F62" w:rsidRPr="00755EC6">
        <w:rPr>
          <w:rFonts w:ascii="Times New Roman" w:hAnsi="Times New Roman" w:cs="Times New Roman"/>
          <w:sz w:val="28"/>
          <w:szCs w:val="28"/>
        </w:rPr>
        <w:t>исключ</w:t>
      </w:r>
      <w:r w:rsidR="00207A70">
        <w:rPr>
          <w:rFonts w:ascii="Times New Roman" w:hAnsi="Times New Roman" w:cs="Times New Roman"/>
          <w:sz w:val="28"/>
          <w:szCs w:val="28"/>
        </w:rPr>
        <w:t>аю</w:t>
      </w:r>
      <w:r w:rsidR="00A36AD8" w:rsidRPr="00755EC6">
        <w:rPr>
          <w:rFonts w:ascii="Times New Roman" w:hAnsi="Times New Roman" w:cs="Times New Roman"/>
          <w:sz w:val="28"/>
          <w:szCs w:val="28"/>
        </w:rPr>
        <w:t>тся</w:t>
      </w:r>
      <w:r w:rsidR="006A72B4" w:rsidRPr="00755EC6">
        <w:rPr>
          <w:rFonts w:ascii="Times New Roman" w:hAnsi="Times New Roman" w:cs="Times New Roman"/>
          <w:sz w:val="28"/>
          <w:szCs w:val="28"/>
        </w:rPr>
        <w:t>,</w:t>
      </w:r>
      <w:r w:rsidR="00366F62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F77EBD" w:rsidRPr="00755EC6">
        <w:rPr>
          <w:rFonts w:ascii="Times New Roman" w:hAnsi="Times New Roman" w:cs="Times New Roman"/>
          <w:sz w:val="28"/>
          <w:szCs w:val="28"/>
        </w:rPr>
        <w:t>мног</w:t>
      </w:r>
      <w:r w:rsidR="00366F62" w:rsidRPr="00755EC6">
        <w:rPr>
          <w:rFonts w:ascii="Times New Roman" w:hAnsi="Times New Roman" w:cs="Times New Roman"/>
          <w:sz w:val="28"/>
          <w:szCs w:val="28"/>
        </w:rPr>
        <w:t>оразовые личные посещения зданий</w:t>
      </w:r>
      <w:r w:rsidR="00F77EBD" w:rsidRPr="00755EC6">
        <w:rPr>
          <w:rFonts w:ascii="Times New Roman" w:hAnsi="Times New Roman" w:cs="Times New Roman"/>
          <w:sz w:val="28"/>
          <w:szCs w:val="28"/>
        </w:rPr>
        <w:t xml:space="preserve"> судов гражданами, которые по воле жизненных обстоятельств вовлекаются </w:t>
      </w:r>
      <w:r w:rsidR="0005383C" w:rsidRPr="00755EC6">
        <w:rPr>
          <w:rFonts w:ascii="Times New Roman" w:hAnsi="Times New Roman" w:cs="Times New Roman"/>
          <w:sz w:val="28"/>
          <w:szCs w:val="28"/>
        </w:rPr>
        <w:t xml:space="preserve">в </w:t>
      </w:r>
      <w:r w:rsidR="00F77EBD" w:rsidRPr="00755EC6">
        <w:rPr>
          <w:rFonts w:ascii="Times New Roman" w:hAnsi="Times New Roman" w:cs="Times New Roman"/>
          <w:sz w:val="28"/>
          <w:szCs w:val="28"/>
        </w:rPr>
        <w:t>орбиту судебных тяжб</w:t>
      </w:r>
      <w:r w:rsidR="003901A2" w:rsidRPr="00755EC6">
        <w:rPr>
          <w:rFonts w:ascii="Times New Roman" w:hAnsi="Times New Roman" w:cs="Times New Roman"/>
          <w:sz w:val="28"/>
          <w:szCs w:val="28"/>
        </w:rPr>
        <w:t xml:space="preserve"> в различных качествах – истц</w:t>
      </w:r>
      <w:r w:rsidR="006A72B4" w:rsidRPr="00755EC6">
        <w:rPr>
          <w:rFonts w:ascii="Times New Roman" w:hAnsi="Times New Roman" w:cs="Times New Roman"/>
          <w:sz w:val="28"/>
          <w:szCs w:val="28"/>
        </w:rPr>
        <w:t>ов</w:t>
      </w:r>
      <w:r w:rsidR="003901A2" w:rsidRPr="00755EC6">
        <w:rPr>
          <w:rFonts w:ascii="Times New Roman" w:hAnsi="Times New Roman" w:cs="Times New Roman"/>
          <w:sz w:val="28"/>
          <w:szCs w:val="28"/>
        </w:rPr>
        <w:t>, ответчик</w:t>
      </w:r>
      <w:r w:rsidR="006A72B4" w:rsidRPr="00755EC6">
        <w:rPr>
          <w:rFonts w:ascii="Times New Roman" w:hAnsi="Times New Roman" w:cs="Times New Roman"/>
          <w:sz w:val="28"/>
          <w:szCs w:val="28"/>
        </w:rPr>
        <w:t>ов, свидетелей</w:t>
      </w:r>
      <w:r w:rsidR="003901A2" w:rsidRPr="00755EC6">
        <w:rPr>
          <w:rFonts w:ascii="Times New Roman" w:hAnsi="Times New Roman" w:cs="Times New Roman"/>
          <w:sz w:val="28"/>
          <w:szCs w:val="28"/>
        </w:rPr>
        <w:t>, третьи</w:t>
      </w:r>
      <w:r w:rsidR="006A72B4" w:rsidRPr="00755EC6">
        <w:rPr>
          <w:rFonts w:ascii="Times New Roman" w:hAnsi="Times New Roman" w:cs="Times New Roman"/>
          <w:sz w:val="28"/>
          <w:szCs w:val="28"/>
        </w:rPr>
        <w:t>х лиц</w:t>
      </w:r>
      <w:r w:rsidR="003901A2" w:rsidRPr="00755EC6">
        <w:rPr>
          <w:rFonts w:ascii="Times New Roman" w:hAnsi="Times New Roman" w:cs="Times New Roman"/>
          <w:sz w:val="28"/>
          <w:szCs w:val="28"/>
        </w:rPr>
        <w:t>, специалист</w:t>
      </w:r>
      <w:r w:rsidR="006A72B4" w:rsidRPr="00755EC6">
        <w:rPr>
          <w:rFonts w:ascii="Times New Roman" w:hAnsi="Times New Roman" w:cs="Times New Roman"/>
          <w:sz w:val="28"/>
          <w:szCs w:val="28"/>
        </w:rPr>
        <w:t>ов</w:t>
      </w:r>
      <w:r w:rsidR="009D2578">
        <w:rPr>
          <w:rFonts w:ascii="Times New Roman" w:hAnsi="Times New Roman" w:cs="Times New Roman"/>
          <w:sz w:val="28"/>
          <w:szCs w:val="28"/>
        </w:rPr>
        <w:t>,</w:t>
      </w:r>
      <w:r w:rsidR="003901A2" w:rsidRPr="00755EC6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0735D3" w:rsidRPr="00755EC6">
        <w:rPr>
          <w:rFonts w:ascii="Times New Roman" w:hAnsi="Times New Roman" w:cs="Times New Roman"/>
          <w:sz w:val="28"/>
          <w:szCs w:val="28"/>
        </w:rPr>
        <w:t>ов</w:t>
      </w:r>
      <w:r w:rsidR="009D257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735D3" w:rsidRPr="00755EC6">
        <w:rPr>
          <w:rFonts w:ascii="Times New Roman" w:hAnsi="Times New Roman" w:cs="Times New Roman"/>
          <w:sz w:val="28"/>
          <w:szCs w:val="28"/>
        </w:rPr>
        <w:t>;</w:t>
      </w:r>
    </w:p>
    <w:p w14:paraId="17363502" w14:textId="3BBCC874" w:rsidR="00A36AD8" w:rsidRPr="00755EC6" w:rsidRDefault="00C95D1D" w:rsidP="000356D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C6">
        <w:rPr>
          <w:rFonts w:ascii="Times New Roman" w:hAnsi="Times New Roman" w:cs="Times New Roman"/>
          <w:sz w:val="28"/>
          <w:szCs w:val="28"/>
        </w:rPr>
        <w:t>сни</w:t>
      </w:r>
      <w:r w:rsidR="001A7CA5">
        <w:rPr>
          <w:rFonts w:ascii="Times New Roman" w:hAnsi="Times New Roman" w:cs="Times New Roman"/>
          <w:sz w:val="28"/>
          <w:szCs w:val="28"/>
        </w:rPr>
        <w:t>жение</w:t>
      </w:r>
      <w:r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DD470B" w:rsidRPr="00755EC6">
        <w:rPr>
          <w:rFonts w:ascii="Times New Roman" w:hAnsi="Times New Roman" w:cs="Times New Roman"/>
          <w:sz w:val="28"/>
          <w:szCs w:val="28"/>
        </w:rPr>
        <w:t>избыточно</w:t>
      </w:r>
      <w:r w:rsidR="000735D3" w:rsidRPr="00755EC6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1A7CA5">
        <w:rPr>
          <w:rFonts w:ascii="Times New Roman" w:hAnsi="Times New Roman" w:cs="Times New Roman"/>
          <w:sz w:val="28"/>
          <w:szCs w:val="28"/>
        </w:rPr>
        <w:t>ого</w:t>
      </w:r>
      <w:r w:rsidR="000735D3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Pr="00755EC6">
        <w:rPr>
          <w:rFonts w:ascii="Times New Roman" w:hAnsi="Times New Roman" w:cs="Times New Roman"/>
          <w:sz w:val="28"/>
          <w:szCs w:val="28"/>
        </w:rPr>
        <w:t>уров</w:t>
      </w:r>
      <w:r w:rsidR="001A7CA5">
        <w:rPr>
          <w:rFonts w:ascii="Times New Roman" w:hAnsi="Times New Roman" w:cs="Times New Roman"/>
          <w:sz w:val="28"/>
          <w:szCs w:val="28"/>
        </w:rPr>
        <w:t>ня</w:t>
      </w:r>
      <w:r w:rsidRPr="00755EC6">
        <w:rPr>
          <w:rFonts w:ascii="Times New Roman" w:hAnsi="Times New Roman" w:cs="Times New Roman"/>
          <w:sz w:val="28"/>
          <w:szCs w:val="28"/>
        </w:rPr>
        <w:t xml:space="preserve"> законодательного регулирования</w:t>
      </w:r>
      <w:r w:rsidR="00320DCF" w:rsidRPr="00755EC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350E12" w:rsidRPr="00755EC6">
        <w:rPr>
          <w:rFonts w:ascii="Times New Roman" w:hAnsi="Times New Roman" w:cs="Times New Roman"/>
          <w:sz w:val="28"/>
          <w:szCs w:val="28"/>
        </w:rPr>
        <w:t>уальных правил</w:t>
      </w:r>
      <w:r w:rsidR="00FC264A">
        <w:rPr>
          <w:rFonts w:ascii="Times New Roman" w:hAnsi="Times New Roman" w:cs="Times New Roman"/>
          <w:sz w:val="28"/>
          <w:szCs w:val="28"/>
        </w:rPr>
        <w:t xml:space="preserve"> и</w:t>
      </w:r>
      <w:r w:rsidR="00350E12" w:rsidRPr="00755EC6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="005478B3">
        <w:rPr>
          <w:rFonts w:ascii="Times New Roman" w:hAnsi="Times New Roman" w:cs="Times New Roman"/>
          <w:sz w:val="28"/>
          <w:szCs w:val="28"/>
        </w:rPr>
        <w:t xml:space="preserve">предусматривающих использование цифровых технологий, </w:t>
      </w:r>
      <w:r w:rsidR="003A6863" w:rsidRPr="00755EC6">
        <w:rPr>
          <w:rFonts w:ascii="Times New Roman" w:hAnsi="Times New Roman" w:cs="Times New Roman"/>
          <w:sz w:val="28"/>
          <w:szCs w:val="28"/>
        </w:rPr>
        <w:t>благодаря чему быстр</w:t>
      </w:r>
      <w:r w:rsidR="009A1A50" w:rsidRPr="00755EC6">
        <w:rPr>
          <w:rFonts w:ascii="Times New Roman" w:hAnsi="Times New Roman" w:cs="Times New Roman"/>
          <w:sz w:val="28"/>
          <w:szCs w:val="28"/>
        </w:rPr>
        <w:t xml:space="preserve">оразвивающиеся цифровые сервисы, создающие удобства для граждан, </w:t>
      </w:r>
      <w:r w:rsidR="003A6863" w:rsidRPr="00755EC6">
        <w:rPr>
          <w:rFonts w:ascii="Times New Roman" w:hAnsi="Times New Roman" w:cs="Times New Roman"/>
          <w:sz w:val="28"/>
          <w:szCs w:val="28"/>
        </w:rPr>
        <w:t xml:space="preserve">без промедления будут </w:t>
      </w:r>
      <w:r w:rsidR="009A1A50" w:rsidRPr="00755EC6">
        <w:rPr>
          <w:rFonts w:ascii="Times New Roman" w:hAnsi="Times New Roman" w:cs="Times New Roman"/>
          <w:sz w:val="28"/>
          <w:szCs w:val="28"/>
        </w:rPr>
        <w:t>имплементированы в судопроизводство</w:t>
      </w:r>
      <w:r w:rsidR="00A936A1" w:rsidRPr="00755EC6">
        <w:rPr>
          <w:rFonts w:ascii="Times New Roman" w:hAnsi="Times New Roman" w:cs="Times New Roman"/>
          <w:sz w:val="28"/>
          <w:szCs w:val="28"/>
        </w:rPr>
        <w:t xml:space="preserve"> по мере их </w:t>
      </w:r>
      <w:r w:rsidR="000735D3" w:rsidRPr="00755EC6">
        <w:rPr>
          <w:rFonts w:ascii="Times New Roman" w:hAnsi="Times New Roman" w:cs="Times New Roman"/>
          <w:sz w:val="28"/>
          <w:szCs w:val="28"/>
        </w:rPr>
        <w:t xml:space="preserve">технического и технологического </w:t>
      </w:r>
      <w:r w:rsidR="00A936A1" w:rsidRPr="00755EC6">
        <w:rPr>
          <w:rFonts w:ascii="Times New Roman" w:hAnsi="Times New Roman" w:cs="Times New Roman"/>
          <w:sz w:val="28"/>
          <w:szCs w:val="28"/>
        </w:rPr>
        <w:t>освоения судебной системой</w:t>
      </w:r>
      <w:r w:rsidR="005478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C482C" w14:textId="7082C41E" w:rsidR="00161A91" w:rsidRPr="00656E38" w:rsidRDefault="001A7CA5" w:rsidP="000356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предлагаемый проект Закона также </w:t>
      </w:r>
      <w:r w:rsidR="007367A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14F57">
        <w:rPr>
          <w:rFonts w:ascii="Times New Roman" w:hAnsi="Times New Roman" w:cs="Times New Roman"/>
          <w:sz w:val="28"/>
          <w:szCs w:val="28"/>
        </w:rPr>
        <w:t>во исполнение</w:t>
      </w:r>
      <w:r w:rsidR="00656E38">
        <w:rPr>
          <w:rFonts w:ascii="Times New Roman" w:hAnsi="Times New Roman" w:cs="Times New Roman"/>
          <w:sz w:val="28"/>
          <w:szCs w:val="28"/>
        </w:rPr>
        <w:t xml:space="preserve"> </w:t>
      </w:r>
      <w:r w:rsidR="00EC596A" w:rsidRPr="00656E38">
        <w:rPr>
          <w:rFonts w:ascii="Times New Roman" w:hAnsi="Times New Roman" w:cs="Times New Roman"/>
          <w:sz w:val="28"/>
          <w:szCs w:val="28"/>
        </w:rPr>
        <w:t>пункт</w:t>
      </w:r>
      <w:r w:rsidR="00D8274A">
        <w:rPr>
          <w:rFonts w:ascii="Times New Roman" w:hAnsi="Times New Roman" w:cs="Times New Roman"/>
          <w:sz w:val="28"/>
          <w:szCs w:val="28"/>
        </w:rPr>
        <w:t xml:space="preserve">ов </w:t>
      </w:r>
      <w:r w:rsidR="00EC596A" w:rsidRPr="00656E38">
        <w:rPr>
          <w:rFonts w:ascii="Times New Roman" w:hAnsi="Times New Roman" w:cs="Times New Roman"/>
          <w:sz w:val="28"/>
          <w:szCs w:val="28"/>
        </w:rPr>
        <w:t>2.2</w:t>
      </w:r>
      <w:r w:rsidR="004E1D5E" w:rsidRPr="00656E38">
        <w:rPr>
          <w:rFonts w:ascii="Times New Roman" w:hAnsi="Times New Roman" w:cs="Times New Roman"/>
          <w:sz w:val="28"/>
          <w:szCs w:val="28"/>
        </w:rPr>
        <w:t>., 2.5., 3.9., 3.10.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1D5E" w:rsidRPr="00656E38">
        <w:rPr>
          <w:rFonts w:ascii="Times New Roman" w:hAnsi="Times New Roman" w:cs="Times New Roman"/>
          <w:sz w:val="28"/>
          <w:szCs w:val="28"/>
        </w:rPr>
        <w:t xml:space="preserve"> 4.14</w:t>
      </w:r>
      <w:r w:rsidR="00D8274A">
        <w:rPr>
          <w:rFonts w:ascii="Times New Roman" w:hAnsi="Times New Roman" w:cs="Times New Roman"/>
          <w:sz w:val="28"/>
          <w:szCs w:val="28"/>
        </w:rPr>
        <w:t>.</w:t>
      </w:r>
      <w:r w:rsidR="00DB261B">
        <w:rPr>
          <w:rFonts w:ascii="Times New Roman" w:hAnsi="Times New Roman" w:cs="Times New Roman"/>
          <w:sz w:val="28"/>
          <w:szCs w:val="28"/>
        </w:rPr>
        <w:t xml:space="preserve"> </w:t>
      </w:r>
      <w:r w:rsid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DB261B" w:rsidRP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лан</w:t>
      </w:r>
      <w:r w:rsid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DB261B" w:rsidRP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мероприятий</w:t>
      </w:r>
      <w:r w:rsid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8274A" w:rsidRP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реализации Государственной целевой программы </w:t>
      </w:r>
      <w:r w:rsid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D8274A" w:rsidRP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системы правосудия на 2023-2026 годы</w:t>
      </w:r>
      <w:r w:rsidR="00DB26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DB261B">
        <w:rPr>
          <w:rFonts w:ascii="Times New Roman" w:hAnsi="Times New Roman" w:cs="Times New Roman"/>
          <w:sz w:val="28"/>
          <w:szCs w:val="28"/>
        </w:rPr>
        <w:t xml:space="preserve">, </w:t>
      </w:r>
      <w:r w:rsidR="00A36AD8" w:rsidRPr="006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="00DB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36AD8" w:rsidRPr="006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Президента Кыргызской Республики от 3 марта 2023 года №47. </w:t>
      </w:r>
    </w:p>
    <w:p w14:paraId="1BFC48CB" w14:textId="5DABE306" w:rsidR="00641109" w:rsidRPr="001A7CA5" w:rsidRDefault="00020C69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Одновременно с этим, </w:t>
      </w:r>
      <w:r w:rsidR="001A7CA5">
        <w:rPr>
          <w:rFonts w:ascii="Times New Roman" w:hAnsi="Times New Roman" w:cs="Times New Roman"/>
          <w:sz w:val="28"/>
          <w:szCs w:val="28"/>
        </w:rPr>
        <w:t xml:space="preserve">в целях обеспечения гармонизации национального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1109">
        <w:rPr>
          <w:rFonts w:ascii="Times New Roman" w:hAnsi="Times New Roman" w:cs="Times New Roman"/>
          <w:sz w:val="28"/>
          <w:szCs w:val="28"/>
        </w:rPr>
        <w:t xml:space="preserve">ри разработке данного законопроекта были учтены </w:t>
      </w:r>
      <w:r w:rsidR="00E77F67">
        <w:rPr>
          <w:rFonts w:ascii="Times New Roman" w:hAnsi="Times New Roman" w:cs="Times New Roman"/>
          <w:sz w:val="28"/>
          <w:szCs w:val="28"/>
        </w:rPr>
        <w:t xml:space="preserve">подходы правового регулирования в цифровой среде, </w:t>
      </w:r>
      <w:r w:rsidR="00E77F67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проекте </w:t>
      </w:r>
      <w:r w:rsidR="00E77F67" w:rsidRPr="00755EC6">
        <w:rPr>
          <w:rFonts w:ascii="Times New Roman" w:hAnsi="Times New Roman" w:cs="Times New Roman"/>
          <w:sz w:val="28"/>
          <w:szCs w:val="28"/>
        </w:rPr>
        <w:t>Цифрового кодекса Кыргызской Республи</w:t>
      </w:r>
      <w:r w:rsidR="00E77F67">
        <w:rPr>
          <w:rFonts w:ascii="Times New Roman" w:hAnsi="Times New Roman" w:cs="Times New Roman"/>
          <w:sz w:val="28"/>
          <w:szCs w:val="28"/>
        </w:rPr>
        <w:t xml:space="preserve">ки, который был разработан Министерством цифрового развития Кыргызской Республики </w:t>
      </w:r>
      <w:r w:rsidR="00D30B8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30B8D" w:rsidRPr="00755EC6">
        <w:rPr>
          <w:rFonts w:ascii="Times New Roman" w:hAnsi="Times New Roman" w:cs="Times New Roman"/>
          <w:sz w:val="28"/>
          <w:szCs w:val="28"/>
        </w:rPr>
        <w:t>Указ</w:t>
      </w:r>
      <w:r w:rsidR="00D30B8D">
        <w:rPr>
          <w:rFonts w:ascii="Times New Roman" w:hAnsi="Times New Roman" w:cs="Times New Roman"/>
          <w:sz w:val="28"/>
          <w:szCs w:val="28"/>
        </w:rPr>
        <w:t>а</w:t>
      </w:r>
      <w:r w:rsidR="00D30B8D" w:rsidRPr="00755EC6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«О неотложных мерах по активизации внедрения цифровых технологий в государственное управление Кыргызской Республики» от 18 декабря 2020 года</w:t>
      </w:r>
      <w:r w:rsidR="00D30B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2C0FB378" w14:textId="5C6C0FFF" w:rsidR="004A7993" w:rsidRPr="00755EC6" w:rsidRDefault="0049223C" w:rsidP="000356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993" w:rsidRPr="00755EC6">
        <w:rPr>
          <w:rFonts w:ascii="Times New Roman" w:eastAsia="Times New Roman" w:hAnsi="Times New Roman" w:cs="Times New Roman"/>
          <w:b/>
          <w:sz w:val="28"/>
          <w:szCs w:val="28"/>
        </w:rPr>
        <w:t>2. Описательная часть.</w:t>
      </w:r>
    </w:p>
    <w:p w14:paraId="57EEF919" w14:textId="10CAA0EB" w:rsidR="00FB59EC" w:rsidRPr="00F44F6C" w:rsidRDefault="00F23312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цифровых технологий во все сферы </w:t>
      </w:r>
      <w:r w:rsidR="009416B4" w:rsidRPr="00755EC6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="00852FF1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>
        <w:rPr>
          <w:rFonts w:ascii="Times New Roman" w:hAnsi="Times New Roman" w:cs="Times New Roman"/>
          <w:sz w:val="28"/>
          <w:szCs w:val="28"/>
        </w:rPr>
        <w:t xml:space="preserve">шагом для их развития, в особенности в вопросах </w:t>
      </w:r>
      <w:r w:rsidR="009031CC">
        <w:rPr>
          <w:rFonts w:ascii="Times New Roman" w:hAnsi="Times New Roman" w:cs="Times New Roman"/>
          <w:sz w:val="28"/>
          <w:szCs w:val="28"/>
        </w:rPr>
        <w:t>взаимодействия государства с гражданами</w:t>
      </w:r>
      <w:r w:rsidR="009416B4" w:rsidRPr="00755EC6">
        <w:rPr>
          <w:rFonts w:ascii="Times New Roman" w:hAnsi="Times New Roman" w:cs="Times New Roman"/>
          <w:sz w:val="28"/>
          <w:szCs w:val="28"/>
        </w:rPr>
        <w:t xml:space="preserve">. </w:t>
      </w:r>
      <w:r w:rsidR="009031CC" w:rsidRPr="00755EC6">
        <w:rPr>
          <w:rFonts w:ascii="Times New Roman" w:hAnsi="Times New Roman" w:cs="Times New Roman"/>
          <w:sz w:val="28"/>
          <w:szCs w:val="28"/>
        </w:rPr>
        <w:t>Судебная система</w:t>
      </w:r>
      <w:r w:rsidR="009416B4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9031CC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9416B4" w:rsidRPr="00755EC6">
        <w:rPr>
          <w:rFonts w:ascii="Times New Roman" w:hAnsi="Times New Roman" w:cs="Times New Roman"/>
          <w:sz w:val="28"/>
          <w:szCs w:val="28"/>
        </w:rPr>
        <w:t>предпринимает усилия</w:t>
      </w:r>
      <w:proofErr w:type="gramEnd"/>
      <w:r w:rsidR="009416B4" w:rsidRPr="00755EC6">
        <w:rPr>
          <w:rFonts w:ascii="Times New Roman" w:hAnsi="Times New Roman" w:cs="Times New Roman"/>
          <w:sz w:val="28"/>
          <w:szCs w:val="28"/>
        </w:rPr>
        <w:t xml:space="preserve"> по внедрению цифровых решений в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9416B4" w:rsidRPr="00755EC6">
        <w:rPr>
          <w:rFonts w:ascii="Times New Roman" w:hAnsi="Times New Roman" w:cs="Times New Roman"/>
          <w:sz w:val="28"/>
          <w:szCs w:val="28"/>
        </w:rPr>
        <w:t>судопроизводств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16B4" w:rsidRPr="00755EC6">
        <w:rPr>
          <w:rFonts w:ascii="Times New Roman" w:hAnsi="Times New Roman" w:cs="Times New Roman"/>
          <w:sz w:val="28"/>
          <w:szCs w:val="28"/>
        </w:rPr>
        <w:t xml:space="preserve">. </w:t>
      </w:r>
      <w:r w:rsidR="007367A6">
        <w:rPr>
          <w:rFonts w:ascii="Times New Roman" w:hAnsi="Times New Roman" w:cs="Times New Roman"/>
          <w:sz w:val="28"/>
          <w:szCs w:val="28"/>
        </w:rPr>
        <w:t>Так, в</w:t>
      </w:r>
      <w:r w:rsidR="00FB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</w:t>
      </w:r>
      <w:r w:rsidR="00F44F6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местных судах создан базовый уровень инфраструктуры для обеспечения работы основных</w:t>
      </w:r>
      <w:r w:rsidR="00F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цифровых технологических систем.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B59E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</w:t>
      </w:r>
      <w:r w:rsidR="00F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B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B59E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r w:rsidR="00FB59E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F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="00FB59E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судами </w:t>
      </w:r>
      <w:r w:rsidR="00F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цифровых технологических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F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F6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реестр судебных актов, Специализированный сайт публикации судебных актов (www.act.sot.kg), База данных должников Подразделения службы судебных исполнителей, Автоматизированная информационная система суда, Программное обеспечение по автоматизированному распределению дел в Верховном суде, Единый портал судебной системы, Программное обеспечение по автоматизации деятельности Судебного департамента и областных управлений, Программное</w:t>
      </w:r>
      <w:proofErr w:type="gramEnd"/>
      <w:r w:rsidR="00F44F6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по подсчету голосов Совета по отбору судей, Программа электронного тестирования судей и судебных приставов на базе Высшей школы правосудия</w:t>
      </w:r>
      <w:r w:rsidR="00FF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E0C767" w14:textId="54E02D5D" w:rsidR="007367A6" w:rsidRPr="00755EC6" w:rsidRDefault="007367A6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проводится работа по разработке и запуску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цифровых сервисов, позволяющих создать максимально удобные условия для взаимодействия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судами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</w:t>
      </w:r>
      <w:r w:rsidR="0085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запланирована разработка 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</w:t>
      </w:r>
      <w:r w:rsidR="0085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</w:t>
      </w:r>
      <w:r w:rsidR="0085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</w:t>
      </w:r>
      <w:r w:rsidR="0085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4E86D8" w14:textId="57C4F7F9" w:rsidR="007367A6" w:rsidRPr="00755EC6" w:rsidRDefault="003E28DA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D3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удаленно 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="0085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алобы и требования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 в </w:t>
      </w:r>
      <w:r w:rsidR="0073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при этом личный кабинет гражданина с разделом, позволяющим самостоятельно повышать цифровую грамотность;</w:t>
      </w:r>
    </w:p>
    <w:p w14:paraId="2897F0CD" w14:textId="3A69FABA" w:rsidR="007367A6" w:rsidRPr="00755EC6" w:rsidRDefault="007367A6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исковых требований, руководств по их заполнению, отражающих последовательность действий в процессе разрешения споров в судебном порядке;</w:t>
      </w:r>
    </w:p>
    <w:p w14:paraId="08939C99" w14:textId="7178628D" w:rsidR="007367A6" w:rsidRPr="00755EC6" w:rsidRDefault="003E28DA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удаленный доступ к судебным решениям;</w:t>
      </w:r>
    </w:p>
    <w:p w14:paraId="5B56E5DA" w14:textId="4EC9BFB4" w:rsidR="007367A6" w:rsidRPr="003E28DA" w:rsidRDefault="003E28DA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информации о вероятности удовлетворения требований в зависимости от категории спора;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7A6" w:rsidRP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 онлайн-переговоров или онлайн-медиации;</w:t>
      </w:r>
    </w:p>
    <w:p w14:paraId="2FBCC70B" w14:textId="4933AB3B" w:rsidR="007367A6" w:rsidRPr="00755EC6" w:rsidRDefault="003E28DA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обмениваться </w:t>
      </w:r>
      <w:r w:rsidR="0073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доказательствами между сторонами;</w:t>
      </w:r>
    </w:p>
    <w:p w14:paraId="782CCB95" w14:textId="0C414073" w:rsidR="007367A6" w:rsidRDefault="007367A6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для взаимодействия с судами;</w:t>
      </w:r>
    </w:p>
    <w:p w14:paraId="1529EFCF" w14:textId="2F3CBAE4" w:rsidR="007367A6" w:rsidRPr="00755EC6" w:rsidRDefault="003E28DA" w:rsidP="000356D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внедрить </w:t>
      </w:r>
      <w:r w:rsidR="007367A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7367A6" w:rsidRPr="00755EC6">
        <w:rPr>
          <w:rFonts w:ascii="Times New Roman" w:hAnsi="Times New Roman" w:cs="Times New Roman"/>
          <w:sz w:val="28"/>
          <w:szCs w:val="28"/>
        </w:rPr>
        <w:t>ие бизнес-процессы.</w:t>
      </w:r>
    </w:p>
    <w:p w14:paraId="53893851" w14:textId="475B8E23" w:rsidR="007367A6" w:rsidRDefault="007367A6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усилиями Верховного суда и УИТ «</w:t>
      </w:r>
      <w:proofErr w:type="spellStart"/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Адилет</w:t>
      </w:r>
      <w:proofErr w:type="spellEnd"/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сот» 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и технологическое оснащение судебной системы в сфере цифровизации, 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новых 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решений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727443E" w14:textId="2147CBEC" w:rsidR="000F2AAB" w:rsidRDefault="009416B4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C6">
        <w:rPr>
          <w:rFonts w:ascii="Times New Roman" w:hAnsi="Times New Roman" w:cs="Times New Roman"/>
          <w:sz w:val="28"/>
          <w:szCs w:val="28"/>
        </w:rPr>
        <w:t xml:space="preserve">Однако, законодательная база судопроизводства, созданная и кодифицированная </w:t>
      </w:r>
      <w:r w:rsidR="0084281C" w:rsidRPr="00B26997">
        <w:rPr>
          <w:rFonts w:ascii="Times New Roman" w:hAnsi="Times New Roman" w:cs="Times New Roman"/>
          <w:sz w:val="28"/>
          <w:szCs w:val="28"/>
        </w:rPr>
        <w:t>без учета цифровых технологий</w:t>
      </w:r>
      <w:r w:rsidRPr="00755EC6">
        <w:rPr>
          <w:rFonts w:ascii="Times New Roman" w:hAnsi="Times New Roman" w:cs="Times New Roman"/>
          <w:sz w:val="28"/>
          <w:szCs w:val="28"/>
        </w:rPr>
        <w:t xml:space="preserve">, не могла предусмотреть возможность применения </w:t>
      </w:r>
      <w:r>
        <w:rPr>
          <w:rFonts w:ascii="Times New Roman" w:hAnsi="Times New Roman" w:cs="Times New Roman"/>
          <w:sz w:val="28"/>
          <w:szCs w:val="28"/>
        </w:rPr>
        <w:t xml:space="preserve">судами </w:t>
      </w:r>
      <w:r w:rsidR="00F44F6C">
        <w:rPr>
          <w:rFonts w:ascii="Times New Roman" w:hAnsi="Times New Roman" w:cs="Times New Roman"/>
          <w:sz w:val="28"/>
          <w:szCs w:val="28"/>
        </w:rPr>
        <w:t xml:space="preserve">всего комплекса вышеуказанных </w:t>
      </w:r>
      <w:r w:rsidRPr="00755EC6">
        <w:rPr>
          <w:rFonts w:ascii="Times New Roman" w:hAnsi="Times New Roman" w:cs="Times New Roman"/>
          <w:sz w:val="28"/>
          <w:szCs w:val="28"/>
        </w:rPr>
        <w:t xml:space="preserve">цифровых </w:t>
      </w:r>
      <w:r>
        <w:rPr>
          <w:rFonts w:ascii="Times New Roman" w:hAnsi="Times New Roman" w:cs="Times New Roman"/>
          <w:sz w:val="28"/>
          <w:szCs w:val="28"/>
        </w:rPr>
        <w:t xml:space="preserve">сервисов. </w:t>
      </w:r>
      <w:r w:rsidRPr="00755EC6">
        <w:rPr>
          <w:rFonts w:ascii="Times New Roman" w:hAnsi="Times New Roman" w:cs="Times New Roman"/>
          <w:sz w:val="28"/>
          <w:szCs w:val="28"/>
        </w:rPr>
        <w:t>Тако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5EC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755EC6">
        <w:rPr>
          <w:rFonts w:ascii="Times New Roman" w:hAnsi="Times New Roman" w:cs="Times New Roman"/>
          <w:sz w:val="28"/>
          <w:szCs w:val="28"/>
        </w:rPr>
        <w:t xml:space="preserve"> создает препятствия судебной системе в быстром реагировании на развитие </w:t>
      </w:r>
      <w:r>
        <w:rPr>
          <w:rFonts w:ascii="Times New Roman" w:hAnsi="Times New Roman" w:cs="Times New Roman"/>
          <w:sz w:val="28"/>
          <w:szCs w:val="28"/>
        </w:rPr>
        <w:t>цифровых</w:t>
      </w:r>
      <w:r w:rsidRPr="00755EC6">
        <w:rPr>
          <w:rFonts w:ascii="Times New Roman" w:hAnsi="Times New Roman" w:cs="Times New Roman"/>
          <w:sz w:val="28"/>
          <w:szCs w:val="28"/>
        </w:rPr>
        <w:t xml:space="preserve"> технологий и имплементации в практику рассмотрения гражданских споров и административных дел уже имеющихся технических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755EC6">
        <w:rPr>
          <w:rFonts w:ascii="Times New Roman" w:hAnsi="Times New Roman" w:cs="Times New Roman"/>
          <w:sz w:val="28"/>
          <w:szCs w:val="28"/>
        </w:rPr>
        <w:t xml:space="preserve">, а также в их совершенствовании на перманентной основе. </w:t>
      </w:r>
      <w:r w:rsidR="0084281C" w:rsidRPr="00B26997">
        <w:rPr>
          <w:rFonts w:ascii="Times New Roman" w:hAnsi="Times New Roman" w:cs="Times New Roman"/>
          <w:sz w:val="28"/>
          <w:szCs w:val="28"/>
        </w:rPr>
        <w:t>Традиционность</w:t>
      </w:r>
      <w:r w:rsidRPr="00755EC6">
        <w:rPr>
          <w:rFonts w:ascii="Times New Roman" w:hAnsi="Times New Roman" w:cs="Times New Roman"/>
          <w:sz w:val="28"/>
          <w:szCs w:val="28"/>
        </w:rPr>
        <w:t xml:space="preserve"> законодательных подходов неоправданно удорожает, усложняет судебные процедуры, как для самого государства, так и для всех граждан, вовлека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755EC6">
        <w:rPr>
          <w:rFonts w:ascii="Times New Roman" w:hAnsi="Times New Roman" w:cs="Times New Roman"/>
          <w:sz w:val="28"/>
          <w:szCs w:val="28"/>
        </w:rPr>
        <w:t xml:space="preserve"> в судебные тяжбы, число которых по всей стране исчисляется многими тысячами и продолжает расти по мере развития экономики.</w:t>
      </w:r>
      <w:r w:rsidR="00903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EE569" w14:textId="336193B6" w:rsidR="00F44F6C" w:rsidRDefault="009031CC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статистика показывает, что значительное большинство </w:t>
      </w:r>
      <w:r w:rsidR="00FB59EC">
        <w:rPr>
          <w:rFonts w:ascii="Times New Roman" w:hAnsi="Times New Roman" w:cs="Times New Roman"/>
          <w:sz w:val="28"/>
          <w:szCs w:val="28"/>
        </w:rPr>
        <w:t>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AB">
        <w:rPr>
          <w:rFonts w:ascii="Times New Roman" w:hAnsi="Times New Roman" w:cs="Times New Roman"/>
          <w:sz w:val="28"/>
          <w:szCs w:val="28"/>
        </w:rPr>
        <w:t>рассматриваются в порядке гражданского и административного судопроизводства. При этом</w:t>
      </w:r>
      <w:proofErr w:type="gramStart"/>
      <w:r w:rsidR="000F2A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2AA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755EC6">
        <w:rPr>
          <w:rFonts w:ascii="Times New Roman" w:hAnsi="Times New Roman" w:cs="Times New Roman"/>
          <w:sz w:val="28"/>
          <w:szCs w:val="28"/>
        </w:rPr>
        <w:t>Г</w:t>
      </w:r>
      <w:r w:rsidR="00A27038" w:rsidRPr="00755EC6">
        <w:rPr>
          <w:rFonts w:ascii="Times New Roman" w:hAnsi="Times New Roman" w:cs="Times New Roman"/>
          <w:sz w:val="28"/>
          <w:szCs w:val="28"/>
        </w:rPr>
        <w:t>ПК</w:t>
      </w:r>
      <w:r w:rsidR="00DB7511" w:rsidRPr="00755EC6">
        <w:rPr>
          <w:rFonts w:ascii="Times New Roman" w:hAnsi="Times New Roman" w:cs="Times New Roman"/>
          <w:sz w:val="28"/>
          <w:szCs w:val="28"/>
        </w:rPr>
        <w:t xml:space="preserve"> и АПК</w:t>
      </w:r>
      <w:r w:rsidR="00044B4B" w:rsidRPr="00755EC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044B4B" w:rsidRPr="00755EC6">
        <w:rPr>
          <w:rFonts w:ascii="Times New Roman" w:hAnsi="Times New Roman" w:cs="Times New Roman"/>
          <w:sz w:val="28"/>
          <w:szCs w:val="28"/>
        </w:rPr>
        <w:t>явля</w:t>
      </w:r>
      <w:r w:rsidR="000C7DF1" w:rsidRPr="00755EC6">
        <w:rPr>
          <w:rFonts w:ascii="Times New Roman" w:hAnsi="Times New Roman" w:cs="Times New Roman"/>
          <w:sz w:val="28"/>
          <w:szCs w:val="28"/>
        </w:rPr>
        <w:t>ю</w:t>
      </w:r>
      <w:r w:rsidR="00044B4B" w:rsidRPr="00755EC6">
        <w:rPr>
          <w:rFonts w:ascii="Times New Roman" w:hAnsi="Times New Roman" w:cs="Times New Roman"/>
          <w:sz w:val="28"/>
          <w:szCs w:val="28"/>
        </w:rPr>
        <w:t>тся основополагающим</w:t>
      </w:r>
      <w:r w:rsidR="000C7DF1" w:rsidRPr="00755EC6">
        <w:rPr>
          <w:rFonts w:ascii="Times New Roman" w:hAnsi="Times New Roman" w:cs="Times New Roman"/>
          <w:sz w:val="28"/>
          <w:szCs w:val="28"/>
        </w:rPr>
        <w:t>и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0C7DF1" w:rsidRPr="00755EC6">
        <w:rPr>
          <w:rFonts w:ascii="Times New Roman" w:hAnsi="Times New Roman" w:cs="Times New Roman"/>
          <w:sz w:val="28"/>
          <w:szCs w:val="28"/>
        </w:rPr>
        <w:t xml:space="preserve">законодательными </w:t>
      </w:r>
      <w:r w:rsidR="00044B4B" w:rsidRPr="00755EC6">
        <w:rPr>
          <w:rFonts w:ascii="Times New Roman" w:hAnsi="Times New Roman" w:cs="Times New Roman"/>
          <w:sz w:val="28"/>
          <w:szCs w:val="28"/>
        </w:rPr>
        <w:t>акт</w:t>
      </w:r>
      <w:r w:rsidR="000C7DF1" w:rsidRPr="00755EC6">
        <w:rPr>
          <w:rFonts w:ascii="Times New Roman" w:hAnsi="Times New Roman" w:cs="Times New Roman"/>
          <w:sz w:val="28"/>
          <w:szCs w:val="28"/>
        </w:rPr>
        <w:t>а</w:t>
      </w:r>
      <w:r w:rsidR="00044B4B" w:rsidRPr="00755EC6">
        <w:rPr>
          <w:rFonts w:ascii="Times New Roman" w:hAnsi="Times New Roman" w:cs="Times New Roman"/>
          <w:sz w:val="28"/>
          <w:szCs w:val="28"/>
        </w:rPr>
        <w:t>м</w:t>
      </w:r>
      <w:r w:rsidR="000C7DF1" w:rsidRPr="00755EC6">
        <w:rPr>
          <w:rFonts w:ascii="Times New Roman" w:hAnsi="Times New Roman" w:cs="Times New Roman"/>
          <w:sz w:val="28"/>
          <w:szCs w:val="28"/>
        </w:rPr>
        <w:t>и</w:t>
      </w:r>
      <w:r w:rsidR="00044B4B" w:rsidRPr="00755EC6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0C7DF1" w:rsidRPr="00755EC6">
        <w:rPr>
          <w:rFonts w:ascii="Times New Roman" w:hAnsi="Times New Roman" w:cs="Times New Roman"/>
          <w:sz w:val="28"/>
          <w:szCs w:val="28"/>
        </w:rPr>
        <w:t>и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 </w:t>
      </w:r>
      <w:r w:rsidR="00E04075"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правила судопроизводства, в том числе по формированию доказательственной базы любого гражданского и </w:t>
      </w:r>
      <w:r w:rsidR="000C7DF1" w:rsidRPr="00755EC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 дела. </w:t>
      </w:r>
    </w:p>
    <w:p w14:paraId="225AC6AC" w14:textId="511824B5" w:rsidR="00044B4B" w:rsidRDefault="003E28DA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ГПК и АПК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предписани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 w:rsidR="00A4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судопроизводстве цифровых инноваций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мере сдерживает прогрессивные усилия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внедрению цифровых технологий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примеру, д</w:t>
      </w:r>
      <w:r w:rsidR="00FB59E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ействующие ГПК и АПК не допускают возможности имплементации в судопроизводство цифровых решений без </w:t>
      </w:r>
      <w:r w:rsidR="0012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FB59E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поправок в конкретные статьи кодексов. </w:t>
      </w:r>
      <w:proofErr w:type="gramStart"/>
      <w:r w:rsidR="00FB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тдельные элементы цифровых решений </w:t>
      </w:r>
      <w:r w:rsidR="00F448D4">
        <w:rPr>
          <w:rFonts w:ascii="Times New Roman" w:hAnsi="Times New Roman" w:cs="Times New Roman"/>
          <w:sz w:val="28"/>
          <w:szCs w:val="28"/>
        </w:rPr>
        <w:t>уже отражены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 в </w:t>
      </w:r>
      <w:r w:rsidR="000F2AAB">
        <w:rPr>
          <w:rFonts w:ascii="Times New Roman" w:hAnsi="Times New Roman" w:cs="Times New Roman"/>
          <w:sz w:val="28"/>
          <w:szCs w:val="28"/>
        </w:rPr>
        <w:t>ГПК и АПК</w:t>
      </w:r>
      <w:r w:rsidR="00044B4B" w:rsidRPr="00755EC6">
        <w:rPr>
          <w:rFonts w:ascii="Times New Roman" w:hAnsi="Times New Roman" w:cs="Times New Roman"/>
          <w:sz w:val="28"/>
          <w:szCs w:val="28"/>
        </w:rPr>
        <w:t xml:space="preserve"> и постепенно начинают использоваться на практике, однако в настоящее время гражданское </w:t>
      </w:r>
      <w:r w:rsidR="00744288" w:rsidRPr="00755EC6">
        <w:rPr>
          <w:rFonts w:ascii="Times New Roman" w:hAnsi="Times New Roman" w:cs="Times New Roman"/>
          <w:sz w:val="28"/>
          <w:szCs w:val="28"/>
          <w:lang w:val="ky-KG"/>
        </w:rPr>
        <w:t xml:space="preserve">и административное </w:t>
      </w:r>
      <w:r w:rsidR="00044B4B" w:rsidRPr="00755EC6">
        <w:rPr>
          <w:rFonts w:ascii="Times New Roman" w:hAnsi="Times New Roman" w:cs="Times New Roman"/>
          <w:sz w:val="28"/>
          <w:szCs w:val="28"/>
        </w:rPr>
        <w:t>судопроизводство в части необходимости личного посещения гражданами зданий суда, начиная от подачи искового заявления и включая получение решения суда, ведется традиционным, но устаревшим способом</w:t>
      </w:r>
      <w:r w:rsidR="00120FD6">
        <w:rPr>
          <w:rFonts w:ascii="Times New Roman" w:hAnsi="Times New Roman" w:cs="Times New Roman"/>
          <w:sz w:val="28"/>
          <w:szCs w:val="28"/>
        </w:rPr>
        <w:t>, не предусматривается онлайн участие сторон и других участников судебного процесса на судебном</w:t>
      </w:r>
      <w:proofErr w:type="gramEnd"/>
      <w:r w:rsidR="00120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FD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120FD6">
        <w:rPr>
          <w:rFonts w:ascii="Times New Roman" w:hAnsi="Times New Roman" w:cs="Times New Roman"/>
          <w:sz w:val="28"/>
          <w:szCs w:val="28"/>
        </w:rPr>
        <w:t>, не предусматривается ведение аудио и/или видео фиксации судебного заседания, цифровые документы не имеют юридической значимости</w:t>
      </w:r>
      <w:r w:rsidR="007367A6">
        <w:rPr>
          <w:rFonts w:ascii="Times New Roman" w:hAnsi="Times New Roman" w:cs="Times New Roman"/>
          <w:sz w:val="28"/>
          <w:szCs w:val="28"/>
        </w:rPr>
        <w:t xml:space="preserve"> и т.д</w:t>
      </w:r>
      <w:r w:rsidR="000F2AAB">
        <w:rPr>
          <w:rFonts w:ascii="Times New Roman" w:hAnsi="Times New Roman" w:cs="Times New Roman"/>
          <w:sz w:val="28"/>
          <w:szCs w:val="28"/>
        </w:rPr>
        <w:t xml:space="preserve">. </w:t>
      </w:r>
      <w:r w:rsidR="00044B4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нормы и ряд связанных с ними статей определенно нуждаются в дополнениях и изменениях, которые впоследствии позволят </w:t>
      </w:r>
      <w:r w:rsidR="00FB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судам</w:t>
      </w:r>
      <w:r w:rsidR="00C7670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4B4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проверенные и протестированные </w:t>
      </w:r>
      <w:r w:rsidR="00044B4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цифровые новации, используя собственное нормативно</w:t>
      </w:r>
      <w:r w:rsidR="00B3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-приказное</w:t>
      </w:r>
      <w:r w:rsidR="00044B4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регулирование</w:t>
      </w:r>
      <w:r w:rsidR="0089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предусматривает Конституционный закон «О Верховном суде </w:t>
      </w:r>
      <w:proofErr w:type="gramStart"/>
      <w:r w:rsidR="0089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="0089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местных судах»</w:t>
      </w:r>
      <w:r w:rsidR="00044B4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D58CCEB" w14:textId="219D5B79" w:rsidR="003E28DA" w:rsidRPr="007C5428" w:rsidRDefault="003E28DA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C5428">
        <w:rPr>
          <w:rFonts w:ascii="Times New Roman" w:hAnsi="Times New Roman" w:cs="Times New Roman"/>
          <w:sz w:val="28"/>
          <w:szCs w:val="28"/>
        </w:rPr>
        <w:t>опросы, связанные с использованием цифровых решений при рассмотрении гражданских и административных дел, требу</w:t>
      </w:r>
      <w:r w:rsidR="00F44D3B">
        <w:rPr>
          <w:rFonts w:ascii="Times New Roman" w:hAnsi="Times New Roman" w:cs="Times New Roman"/>
          <w:sz w:val="28"/>
          <w:szCs w:val="28"/>
        </w:rPr>
        <w:t>ю</w:t>
      </w:r>
      <w:r w:rsidRPr="007C5428">
        <w:rPr>
          <w:rFonts w:ascii="Times New Roman" w:hAnsi="Times New Roman" w:cs="Times New Roman"/>
          <w:sz w:val="28"/>
          <w:szCs w:val="28"/>
        </w:rPr>
        <w:t xml:space="preserve">т внесения </w:t>
      </w:r>
      <w:r w:rsidR="00A43052">
        <w:rPr>
          <w:rFonts w:ascii="Times New Roman" w:hAnsi="Times New Roman" w:cs="Times New Roman"/>
          <w:sz w:val="28"/>
          <w:szCs w:val="28"/>
        </w:rPr>
        <w:t>поправок</w:t>
      </w:r>
      <w:r w:rsidRPr="007C5428">
        <w:rPr>
          <w:rFonts w:ascii="Times New Roman" w:hAnsi="Times New Roman" w:cs="Times New Roman"/>
          <w:sz w:val="28"/>
          <w:szCs w:val="28"/>
        </w:rPr>
        <w:t xml:space="preserve"> в соответствующие кодексы Кыргызской Республики. </w:t>
      </w:r>
    </w:p>
    <w:p w14:paraId="6275A5EE" w14:textId="56865222" w:rsidR="00044B4B" w:rsidRPr="00755EC6" w:rsidRDefault="00EA30DC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A2703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редлагаем</w:t>
      </w:r>
      <w:r w:rsidR="00E4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проекте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взяты вопросы доступа граждан к правосудию, </w:t>
      </w:r>
      <w:r w:rsidR="00F41C4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применимые нормы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проанализирован</w:t>
      </w:r>
      <w:r w:rsidR="00F41C4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восприимчивости </w:t>
      </w:r>
      <w:proofErr w:type="gramStart"/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дальнейшей цифровизации судопроизводства с учетом лучших мировых практик.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п</w:t>
      </w:r>
      <w:r w:rsidR="003F2F7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оправки </w:t>
      </w:r>
      <w:r w:rsidR="0012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ГПК и АПК </w:t>
      </w:r>
      <w:r w:rsidR="003D2D8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</w:t>
      </w:r>
      <w:r w:rsidR="00763841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F7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2265A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763841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65A3" w:rsidRPr="00755EC6">
        <w:rPr>
          <w:rFonts w:ascii="Times New Roman" w:hAnsi="Times New Roman" w:cs="Times New Roman"/>
          <w:sz w:val="28"/>
          <w:szCs w:val="28"/>
        </w:rPr>
        <w:t xml:space="preserve"> изменения и дополнения</w:t>
      </w:r>
      <w:r w:rsidR="00763841" w:rsidRPr="00755EC6">
        <w:rPr>
          <w:rFonts w:ascii="Times New Roman" w:hAnsi="Times New Roman" w:cs="Times New Roman"/>
          <w:sz w:val="28"/>
          <w:szCs w:val="28"/>
        </w:rPr>
        <w:t>.</w:t>
      </w:r>
    </w:p>
    <w:p w14:paraId="566B99CB" w14:textId="3342A55D" w:rsidR="003D2D83" w:rsidRPr="00755EC6" w:rsidRDefault="000510A5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958B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D2D8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</w:t>
      </w:r>
      <w:r w:rsidR="003D2D83" w:rsidRPr="00B2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глоссарий</w:t>
      </w:r>
      <w:r w:rsidR="003D2D8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056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8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терминов</w:t>
      </w:r>
      <w:r w:rsidR="007C615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</w:t>
      </w:r>
      <w:r w:rsidR="00965FD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="00A91DF6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65FD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95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видеоконференцсвязь</w:t>
      </w:r>
      <w:r w:rsidR="00B9722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письменная форма, цифровое судебное дело</w:t>
      </w:r>
      <w:r w:rsidR="002679E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цифровые судебные материалы</w:t>
      </w:r>
      <w:r w:rsidR="006F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цифровая технологическая система судопроизводства</w:t>
      </w:r>
      <w:r w:rsidR="005F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сервис гарантированной доставки сообщений</w:t>
      </w:r>
      <w:r w:rsidR="003E395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615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этих терминов</w:t>
      </w:r>
      <w:r w:rsidR="007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DFE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7C615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пониматься и применяться всеми участниками </w:t>
      </w:r>
      <w:r w:rsidR="00527DFE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судопроизводства единообразно</w:t>
      </w:r>
      <w:r w:rsidR="0065056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облегчит</w:t>
      </w:r>
      <w:r w:rsidR="00D7081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="0065056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7081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заимопонимание и </w:t>
      </w:r>
      <w:r w:rsidR="00A958B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слаженность при </w:t>
      </w:r>
      <w:r w:rsidR="00D7081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</w:t>
      </w:r>
      <w:r w:rsidR="00A958B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081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57ED9B" w14:textId="2BCFEB12" w:rsidR="00D67A55" w:rsidRDefault="000510A5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необходимость использования 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множества общеприменимых терминов, связанных с цифровой 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средой</w:t>
      </w:r>
      <w:r w:rsidR="00F44D3B" w:rsidRPr="00B2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7A55" w:rsidRPr="00B2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B0FE0" w:rsidRPr="00B2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глоссарий</w:t>
      </w:r>
      <w:r w:rsidR="008B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A5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ГПК и АПК 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 w:rsidR="00D67A5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включено примечание, согласно которому используемые в этих кодексах термины и понятия, связанные с цифровыми технологиями, подлежат использованию, пониманию и применению в значениях, приведенных в Цифровом кодексе Кыргызской Республики. </w:t>
      </w:r>
    </w:p>
    <w:p w14:paraId="78F7D4AA" w14:textId="49B8C7AA" w:rsidR="002679E8" w:rsidRPr="00755EC6" w:rsidRDefault="00D67A55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текста ГПК и АПК исключа</w:t>
      </w:r>
      <w:r w:rsidR="00A4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так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 как </w:t>
      </w:r>
      <w:r w:rsidRPr="00E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«информационно-телекоммуникационный».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как, сейчас весь мир </w:t>
      </w:r>
      <w:r w:rsidR="00E4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цифровых технологий и соответственно термины также меняются исходя из появления новых форматов технических решений. В этой связи</w:t>
      </w:r>
      <w:r w:rsidR="00E4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F4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терминологического аппарата</w:t>
      </w:r>
      <w:r w:rsidR="00E4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привести их в соответствие с новыми требованиями. </w:t>
      </w:r>
    </w:p>
    <w:p w14:paraId="142D5A49" w14:textId="77777777" w:rsidR="00B26997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10A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58BB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3BB9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="002679E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081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="00503A2A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</w:t>
      </w:r>
      <w:r w:rsidR="002679E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16 АПК</w:t>
      </w:r>
      <w:r w:rsidR="00D7081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дополнить </w:t>
      </w:r>
      <w:r w:rsidR="00007C4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частью, которая даст возможность Верховно</w:t>
      </w:r>
      <w:r w:rsidR="00A2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7C4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</w:t>
      </w:r>
      <w:r w:rsidR="00A2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067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</w:t>
      </w:r>
      <w:r w:rsidR="001D6D6A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ливать</w:t>
      </w:r>
      <w:r w:rsidR="00007C4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гибкую систему </w:t>
      </w:r>
      <w:r w:rsidR="00970F5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</w:t>
      </w:r>
      <w:r w:rsidR="0087067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007C4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распределения гражданских</w:t>
      </w:r>
      <w:r w:rsidR="0087067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административных</w:t>
      </w:r>
      <w:r w:rsidR="00007C4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в цифровом формате между судами</w:t>
      </w:r>
      <w:r w:rsidR="00970F5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7067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позволит </w:t>
      </w:r>
      <w:r w:rsidR="00970F5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«выравнивать» нагрузку на</w:t>
      </w:r>
      <w:r w:rsidR="0087067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</w:t>
      </w:r>
      <w:r w:rsidR="00970F5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суды</w:t>
      </w:r>
      <w:r w:rsidR="00970F5F" w:rsidRPr="0049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BF3908C" w14:textId="2C0D3BBD" w:rsidR="00816A76" w:rsidRDefault="00F539A0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судебной статистике 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 год в суды I инстанции поступило </w:t>
      </w:r>
      <w:r w:rsidR="009C752B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198 634 дел и судебных материалов, 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91 986 гражданские дела</w:t>
      </w:r>
      <w:r w:rsidR="009C752B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12E3A" w:rsidRPr="000E2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20702 </w:t>
      </w:r>
      <w:r w:rsidR="009C752B" w:rsidRPr="000E2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судебные материалы</w:t>
      </w:r>
      <w:r w:rsidR="00D12E3A" w:rsidRPr="000E2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гражданским делам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ишкек</w:t>
      </w:r>
      <w:proofErr w:type="spell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рассмотрено – 27201 гражданских дел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12E3A" w:rsidRPr="000E249B">
        <w:rPr>
          <w:rFonts w:ascii="Times New Roman" w:eastAsia="Calibri" w:hAnsi="Times New Roman" w:cs="Times New Roman"/>
          <w:sz w:val="28"/>
          <w:szCs w:val="28"/>
        </w:rPr>
        <w:t>9757 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Чуйской области -17875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дел и 3988 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Ошской</w:t>
      </w:r>
      <w:proofErr w:type="spell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- 15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дел и 2309 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Джалал-Абадской</w:t>
      </w:r>
      <w:proofErr w:type="spell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– 12200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дел и 1606 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Иссык-Кульской области 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8720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дел и 1725 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Баткенской</w:t>
      </w:r>
      <w:proofErr w:type="spell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– 3591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дел и 307 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Нарынской</w:t>
      </w:r>
      <w:proofErr w:type="spell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– 4209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дел и 341 судебных материалов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Таласской</w:t>
      </w:r>
      <w:proofErr w:type="spellEnd"/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– 2589 </w:t>
      </w:r>
      <w:r w:rsidR="00D12E3A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гражданских дел и 321 судебных материалов. </w:t>
      </w:r>
      <w:r w:rsidR="00816A76" w:rsidRPr="000E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эта нагрузка крайне неравномерна, что негативно отражается на сроках и качестве разрешения гражданско-правовых споров.</w:t>
      </w:r>
    </w:p>
    <w:p w14:paraId="2EF480F7" w14:textId="226586DD" w:rsidR="00C1551A" w:rsidRPr="00755EC6" w:rsidRDefault="00C1551A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кстерриториальная </w:t>
      </w:r>
      <w:proofErr w:type="gramStart"/>
      <w:r w:rsidRPr="00C1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подсудность</w:t>
      </w:r>
      <w:proofErr w:type="gramEnd"/>
      <w:r w:rsidRPr="00C1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представля</w:t>
      </w:r>
      <w:r w:rsidR="00A4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собой исключение признака территориальности и определение суда без привязки к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подход </w:t>
      </w:r>
      <w:r w:rsidRPr="00C1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эффективным инструментом по предупреждению коррупции в судебной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14:paraId="23D3BECD" w14:textId="0A0BF532" w:rsidR="00D67A55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10A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Учитывая, что вводится новая </w:t>
      </w:r>
      <w:r w:rsidR="00B2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судопроизводства</w:t>
      </w:r>
      <w:r w:rsidR="003E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статьях вносятся дополнения</w:t>
      </w:r>
      <w:r w:rsidR="000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уточняющие применимость положений той или иной статьи в отношении цифрового судопроизводства.</w:t>
      </w:r>
      <w:r w:rsidR="000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этого, в некоторых статьях предлагается отдельно выделить цифровую форму того или иного документа или записи, что позволит судам однозначно понимать при необходимости какие формы возможно </w:t>
      </w:r>
      <w:r w:rsidR="00014F5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применять</w:t>
      </w:r>
      <w:r w:rsidR="000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судопроизводства. </w:t>
      </w:r>
      <w:r w:rsidR="00B2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B1C911" w14:textId="604D49E2" w:rsidR="00C33D24" w:rsidRPr="0072616C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6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действующей редакции АПК и ГПК извещения и повестки направляются участникам процесса заказным письмом с уведомлением о вручении адресату, что приводит к расходу больших средств судов.</w:t>
      </w:r>
    </w:p>
    <w:p w14:paraId="60F1EE04" w14:textId="3C450458" w:rsidR="00341AE9" w:rsidRPr="00341AE9" w:rsidRDefault="00C33D24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стоимость одного заказного письма составляет 72 сома, а если с уведомлением – 127 сомов. Для сравнения стоимость одного СМС-сообщения составляет от 3,72 до 6,68 сомов, что несопоставимо меньше от почтовых отправлений. К сведению прилагается информация по почтовым расходам </w:t>
      </w:r>
      <w:r w:rsidR="00B2436B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судов в разрезе областей </w:t>
      </w:r>
      <w:r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 год и за первое полугодие 2024 года: 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540"/>
        <w:gridCol w:w="3561"/>
        <w:gridCol w:w="2552"/>
        <w:gridCol w:w="2693"/>
      </w:tblGrid>
      <w:tr w:rsidR="00341AE9" w:rsidRPr="007D4786" w14:paraId="661E29DF" w14:textId="77777777" w:rsidTr="00525190">
        <w:trPr>
          <w:trHeight w:val="8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1EF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5D958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области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58B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Почтовые расходы за 2023 год (сом)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9A03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Почтовые расходы за 1 полугодие 2024 года (сом)</w:t>
            </w:r>
          </w:p>
        </w:tc>
      </w:tr>
      <w:tr w:rsidR="00341AE9" w:rsidRPr="007D4786" w14:paraId="59178EA1" w14:textId="77777777" w:rsidTr="00525190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467A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7076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Бишкек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D45" w14:textId="185B0689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0356D2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C536C">
              <w:rPr>
                <w:rFonts w:asciiTheme="majorBidi" w:hAnsiTheme="majorBidi" w:cstheme="majorBidi"/>
                <w:sz w:val="24"/>
                <w:szCs w:val="24"/>
              </w:rPr>
              <w:t>463</w:t>
            </w:r>
            <w:r w:rsidR="000356D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536C">
              <w:rPr>
                <w:rFonts w:asciiTheme="majorBidi" w:hAnsiTheme="majorBidi" w:cstheme="majorBidi"/>
                <w:sz w:val="24"/>
                <w:szCs w:val="24"/>
              </w:rPr>
              <w:t>212,50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0A52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8015534,54</w:t>
            </w:r>
          </w:p>
        </w:tc>
      </w:tr>
      <w:tr w:rsidR="00341AE9" w:rsidRPr="007D4786" w14:paraId="5B00BB9E" w14:textId="77777777" w:rsidTr="00525190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215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F98A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Чуйская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AFE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7890000,00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CD2C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4578000,00</w:t>
            </w:r>
          </w:p>
        </w:tc>
      </w:tr>
      <w:tr w:rsidR="00341AE9" w:rsidRPr="007D4786" w14:paraId="4C69A749" w14:textId="77777777" w:rsidTr="00525190">
        <w:trPr>
          <w:trHeight w:val="3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83CD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C6C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proofErr w:type="spellEnd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49FB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14760929,21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E77F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8125925,17</w:t>
            </w:r>
          </w:p>
        </w:tc>
      </w:tr>
      <w:tr w:rsidR="00341AE9" w:rsidRPr="007D4786" w14:paraId="58D4DA82" w14:textId="77777777" w:rsidTr="00525190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58C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02A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Джал-Абадская</w:t>
            </w:r>
            <w:proofErr w:type="spellEnd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F67E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14631558,59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1232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5092816,08</w:t>
            </w:r>
          </w:p>
        </w:tc>
      </w:tr>
      <w:tr w:rsidR="00341AE9" w:rsidRPr="007D4786" w14:paraId="746C332D" w14:textId="77777777" w:rsidTr="00525190">
        <w:trPr>
          <w:trHeight w:val="35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9EF7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F98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196A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10150900,00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F77D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1845000,00</w:t>
            </w:r>
          </w:p>
        </w:tc>
      </w:tr>
      <w:tr w:rsidR="00341AE9" w:rsidRPr="007D4786" w14:paraId="35F2E2DA" w14:textId="77777777" w:rsidTr="00525190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2B19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51B3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Баткенская</w:t>
            </w:r>
            <w:proofErr w:type="spellEnd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FDFE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3860164,50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DB6E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3076156,45</w:t>
            </w:r>
          </w:p>
        </w:tc>
      </w:tr>
      <w:tr w:rsidR="00341AE9" w:rsidRPr="007D4786" w14:paraId="65338739" w14:textId="77777777" w:rsidTr="00525190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182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9AD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Таласская</w:t>
            </w:r>
            <w:proofErr w:type="spellEnd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B656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1703897,80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B577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1016891,42</w:t>
            </w:r>
          </w:p>
        </w:tc>
      </w:tr>
      <w:tr w:rsidR="00341AE9" w:rsidRPr="007D4786" w14:paraId="6F75CD68" w14:textId="77777777" w:rsidTr="00525190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355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D63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7D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B0EE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2399522,43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7EDE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sz w:val="24"/>
                <w:szCs w:val="24"/>
              </w:rPr>
              <w:t>1737795,07</w:t>
            </w:r>
          </w:p>
        </w:tc>
      </w:tr>
      <w:tr w:rsidR="00341AE9" w:rsidRPr="007D4786" w14:paraId="16D269F4" w14:textId="77777777" w:rsidTr="00525190">
        <w:trPr>
          <w:trHeight w:val="4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08EB" w14:textId="77777777" w:rsidR="00341AE9" w:rsidRPr="007D4786" w:rsidRDefault="00341AE9" w:rsidP="0003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D5D9" w14:textId="77777777" w:rsidR="00341AE9" w:rsidRPr="007D4786" w:rsidRDefault="00341AE9" w:rsidP="0003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89B54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68860185,03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D9E0" w14:textId="77777777" w:rsidR="00341AE9" w:rsidRPr="003C536C" w:rsidRDefault="00341AE9" w:rsidP="000356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C53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33488118,73</w:t>
            </w:r>
          </w:p>
        </w:tc>
      </w:tr>
    </w:tbl>
    <w:p w14:paraId="10257522" w14:textId="77777777" w:rsidR="00341AE9" w:rsidRDefault="00341AE9" w:rsidP="000356D2">
      <w:pPr>
        <w:tabs>
          <w:tab w:val="left" w:pos="993"/>
        </w:tabs>
        <w:spacing w:after="0" w:line="240" w:lineRule="auto"/>
        <w:ind w:right="1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98780" w14:textId="58C13C55" w:rsidR="00C33D24" w:rsidRPr="0072616C" w:rsidRDefault="00341AE9" w:rsidP="000356D2">
      <w:pPr>
        <w:tabs>
          <w:tab w:val="left" w:pos="993"/>
        </w:tabs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2436B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чем, вытекает необходимость пересмотра основного </w:t>
      </w:r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B2436B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</w:t>
      </w:r>
      <w:r w:rsidR="00B2436B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дебного извещения, установленного</w:t>
      </w:r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B2436B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оцессуальным законодательством</w:t>
      </w:r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процесс извещения лиц, участвующих в деле был эффективным, </w:t>
      </w:r>
      <w:proofErr w:type="gramStart"/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экономичным и соответствующим современным технологическим требованиям</w:t>
      </w:r>
      <w:proofErr w:type="gramEnd"/>
      <w:r w:rsidR="00C33D24" w:rsidRPr="0072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FF3D5C" w14:textId="0207EEDF" w:rsidR="005560CC" w:rsidRPr="00755EC6" w:rsidRDefault="00B2436B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F32A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татью</w:t>
      </w:r>
      <w:r w:rsidR="005560C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465DE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ГПК и 104 АПК</w:t>
      </w:r>
      <w:r w:rsidR="00FF32A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0C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 w:rsidR="00FF32A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465DE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FF32A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предусматривающ</w:t>
      </w:r>
      <w:r w:rsidR="00465DE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FF32A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3723A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DE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технической возможности суд вправе известить или вызвать лиц, участвующих в деле, и иных участников процесса с использованием сервиса гарантированной доставки сообщений. Согласно 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465DE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ифровому кодексу 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будут действовать сервисы гарантированной доставки сообщений, которые предполагают надежн</w:t>
      </w:r>
      <w:r w:rsidR="00400B4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точн</w:t>
      </w:r>
      <w:r w:rsidR="00400B4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</w:t>
      </w:r>
      <w:r w:rsidR="005F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сообщений от отправителя к получателю в установленные сроки. Этот сервис </w:t>
      </w:r>
      <w:r w:rsidR="00C14719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включать в себя механизм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гарантирующи</w:t>
      </w:r>
      <w:r w:rsidR="00C14719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сохранность, конфиденциальность и непрер</w:t>
      </w:r>
      <w:r w:rsidR="00C14719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ывность передаваемой информации, что повлечет значительное сокращение государственных расходов на отправку почтовых извещений и доставку уведомлений об их получении.</w:t>
      </w:r>
      <w:r w:rsidR="00871423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E1D063" w14:textId="7530668F" w:rsidR="009B0D0D" w:rsidRPr="00755EC6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510A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предлагается внести дополнение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которому стороны, получившие извещение (повестку), вправе 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8B3A0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и </w:t>
      </w:r>
      <w:r w:rsidR="008B3A08" w:rsidRPr="007C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скачивать</w:t>
      </w:r>
      <w:r w:rsidR="008B3A0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цифровые дубликаты 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8B3A0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D0D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судопроизводства</w:t>
      </w:r>
      <w:r w:rsidR="00C67CB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 без обязательного посещения здания суда.</w:t>
      </w:r>
    </w:p>
    <w:p w14:paraId="24C78EC5" w14:textId="056389DA" w:rsidR="00C33D24" w:rsidRPr="00755EC6" w:rsidRDefault="003D19D7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</w:t>
      </w:r>
      <w:r w:rsidR="008C70C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извещение считается доставленным надлежащим образом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</w:t>
      </w:r>
      <w:r w:rsidR="00E7570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 ГПК и 107 АПК) </w:t>
      </w:r>
      <w:r w:rsidR="008C70C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</w:t>
      </w:r>
      <w:r w:rsidR="00A4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C70C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положением о том, что доставка с использованием сервиса гарантированной доставки сообщений </w:t>
      </w:r>
      <w:r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считается надлежащим извещением</w:t>
      </w:r>
      <w:r w:rsidR="00E7570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092478" w14:textId="07CA327E" w:rsidR="00093970" w:rsidRPr="00017442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510A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23A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</w:t>
      </w:r>
      <w:r w:rsidR="000939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6 статьи 134 </w:t>
      </w:r>
      <w:r w:rsidR="003723A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ГПК и часть 1 статьи 109 АПК </w:t>
      </w:r>
      <w:r w:rsidR="000939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r w:rsidR="00F971AC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939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723A2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0939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0D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предусматривающие</w:t>
      </w:r>
      <w:r w:rsidR="000939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истец может при подаче иска в суд использовать цифровую технологичес</w:t>
      </w:r>
      <w:r w:rsidR="00E75704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систему судопроизводства</w:t>
      </w:r>
      <w:r w:rsidR="00402E1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2E10" w:rsidRPr="00017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 настоящее время разрабатывается УИТ «</w:t>
      </w:r>
      <w:proofErr w:type="spellStart"/>
      <w:r w:rsidR="00402E10" w:rsidRPr="00017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Адилет</w:t>
      </w:r>
      <w:proofErr w:type="spellEnd"/>
      <w:r w:rsidR="00014F57" w:rsidRPr="0001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E10" w:rsidRPr="00017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сот»</w:t>
      </w:r>
      <w:r w:rsidR="00F971AC" w:rsidRPr="0001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находится</w:t>
      </w:r>
      <w:r w:rsidR="00402E10" w:rsidRPr="0001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завершающей стадии.</w:t>
      </w:r>
    </w:p>
    <w:p w14:paraId="2702518E" w14:textId="2B2C2C04" w:rsidR="005F4216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10A5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216" w:rsidRPr="005F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 дополняется статьей 158-1, а АПК статьей 131-1, предусматривающими использование видеоконференцсвязи в судебном заседании. Данные статьи предоставляют возможность лицам, участвующим в деле, а также экспертам, специалистам и свидетелям участвовать на судебном заседании удаленно. Также указанным участникам предоставляется возможность участвовать в судебных заседаниях удаленно, с использованием своих личных цифровых устрой</w:t>
      </w:r>
      <w:proofErr w:type="gramStart"/>
      <w:r w:rsidR="005F4216" w:rsidRPr="005F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="005F4216" w:rsidRPr="005F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наличии технической возможности суда.</w:t>
      </w:r>
    </w:p>
    <w:p w14:paraId="00C8E311" w14:textId="3749D878" w:rsidR="00402E10" w:rsidRPr="00755EC6" w:rsidRDefault="005F4216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87F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Законопроект предлагает включить в ГПК </w:t>
      </w:r>
      <w:r w:rsidR="000050DF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АПК </w:t>
      </w:r>
      <w:r w:rsidR="00A87F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BC3C6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A87F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(дополнительн</w:t>
      </w:r>
      <w:r w:rsidR="00BC3C6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87F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глав</w:t>
      </w:r>
      <w:r w:rsidR="00BC3C68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87F70" w:rsidRPr="007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F70" w:rsidRPr="00755EC6">
        <w:rPr>
          <w:rFonts w:ascii="Times New Roman" w:hAnsi="Times New Roman" w:cs="Times New Roman"/>
          <w:sz w:val="28"/>
          <w:szCs w:val="28"/>
        </w:rPr>
        <w:t>«</w:t>
      </w:r>
      <w:r w:rsidR="00402E10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судопроизводства в цифровом формате</w:t>
      </w:r>
      <w:r w:rsidR="002D702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Глава содержит </w:t>
      </w:r>
      <w:r w:rsidR="00D36BE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02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BC3C6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97F9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1F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</w:t>
      </w:r>
      <w:r w:rsidR="00F97F9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смысл которых сводится к тому, что суд, соблюдая все остальные требования ГПК</w:t>
      </w:r>
      <w:r w:rsidR="00D36BE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АПК</w:t>
      </w:r>
      <w:r w:rsidR="00A801F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F9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провести судебный процесс и сформировать само гражданское </w:t>
      </w:r>
      <w:r w:rsidR="000B3211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административное </w:t>
      </w:r>
      <w:r w:rsidR="00F97F9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0B3211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судебные материалы</w:t>
      </w:r>
      <w:r w:rsidR="00F97F9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цифровом (безбумажном) формате. Такая практика широко распространена в Казахстане, России, </w:t>
      </w:r>
      <w:r w:rsidR="007A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0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ряде</w:t>
      </w:r>
      <w:r w:rsidR="00F97F9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развитых стран и п</w:t>
      </w:r>
      <w:r w:rsidR="00B03CA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C430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азала</w:t>
      </w:r>
      <w:r w:rsidR="00A801F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другими</w:t>
      </w:r>
      <w:r w:rsidR="0053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позитивными эффектами, также</w:t>
      </w:r>
      <w:r w:rsidR="000C430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огромную</w:t>
      </w:r>
      <w:r w:rsidR="00B03CA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финансовую </w:t>
      </w:r>
      <w:r w:rsidR="00DF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выгоду и </w:t>
      </w:r>
      <w:r w:rsidR="00B03CA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экономию </w:t>
      </w:r>
      <w:r w:rsidR="008A1C0E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времени, </w:t>
      </w:r>
      <w:r w:rsidR="00B03CAF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средств и расходов граждан, привела к </w:t>
      </w:r>
      <w:r w:rsidR="000C430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резкому сокращению сроков разрешения споров и</w:t>
      </w:r>
      <w:r w:rsidR="00536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конечном итоге,</w:t>
      </w:r>
      <w:r w:rsidR="000C430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укрепила доверие к судам со стороны населения</w:t>
      </w:r>
      <w:r w:rsidR="008A1C0E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благодаря цифрово</w:t>
      </w:r>
      <w:r w:rsidR="008003D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формату повысились качество и справедливость </w:t>
      </w:r>
      <w:r w:rsidR="003774D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разрешаемых судами гражданско-правовых споров и </w:t>
      </w:r>
      <w:r w:rsidR="007A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="008003D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A9F51" w14:textId="1BB542BE" w:rsidR="00F068C2" w:rsidRPr="00755EC6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42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B84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4C55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Цифровое судопроизводство </w:t>
      </w:r>
      <w:r w:rsidR="00F026F7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основываться на специально разработанных и протестированных </w:t>
      </w:r>
      <w:r w:rsidR="002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судебной системе </w:t>
      </w:r>
      <w:r w:rsidR="00F026F7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решениях. Согласно Цифровому кодексу Кыргызской Республики </w:t>
      </w:r>
      <w:r w:rsidR="00E02391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</w:t>
      </w:r>
      <w:r w:rsidR="00334B84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структурах </w:t>
      </w:r>
      <w:r w:rsidR="00E02391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применяться цифровые технологические системы, подчиняющиеся всеобщим правилам. </w:t>
      </w:r>
      <w:r w:rsidR="001E4B39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технологическая система судопроизводства будет разрабатываться с учетом специфики рассмотрения и разрешения судебных дел в судах первой, апелляционной и кассационной инстанций.</w:t>
      </w:r>
      <w:r w:rsidR="006868CC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цифровой технологической системы судопроизводства будет ускорение </w:t>
      </w:r>
      <w:r w:rsidR="00F068C2" w:rsidRPr="00E4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</w:t>
      </w:r>
      <w:r w:rsidR="006868C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задач правосудия, а также облегч</w:t>
      </w:r>
      <w:r w:rsidR="006868C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6868C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юридических лиц к судебной защите нарушенных или оспариваемых прав, свобод и охраняемых законом интересов. Цифровая технологическая система судопроизводства </w:t>
      </w:r>
      <w:r w:rsidR="003004F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</w:t>
      </w:r>
      <w:r w:rsidR="003004F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местными судами и Верховным судом Кыргызской Республики. Условия и порядок применения судами цифровой технологической системы судопроизводства и цифровых сервисов </w:t>
      </w:r>
      <w:r w:rsidR="00017442" w:rsidRPr="00726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3004F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</w:t>
      </w:r>
      <w:r w:rsidR="003004F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Верховн</w:t>
      </w:r>
      <w:r w:rsidR="00902BE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судом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C3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конституционным Законом «О Верховном суде Кыргызской Республики и местных судах»</w:t>
      </w:r>
      <w:r w:rsidR="00F068C2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подход связан с тем, что цифровые технологии динамично </w:t>
      </w:r>
      <w:proofErr w:type="gramStart"/>
      <w:r w:rsidR="00F47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и их функциональные возможности</w:t>
      </w:r>
      <w:proofErr w:type="gramEnd"/>
      <w:r w:rsidR="00F4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будут постоянно меняться, что будет требовать оперативного правовой регламентации. В связи с этим в ГПК и АПК дает правовую основу Верховному суду самому принимать решения по порядку и условиям функционирования цифровых технологических систем судопроизводства в рамках гражданско-процессуального и административно-процессуального законодательства. </w:t>
      </w:r>
    </w:p>
    <w:p w14:paraId="529EECFF" w14:textId="026CE20B" w:rsidR="00142344" w:rsidRPr="00755EC6" w:rsidRDefault="006D0B69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42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B84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="00F9431E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судопроизводства будет иметь два вида –</w:t>
      </w:r>
      <w:r w:rsidR="00BC7868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31E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и цифровой, по выбору суда с учетом технических возможностей</w:t>
      </w:r>
      <w:r w:rsidR="0036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цифров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6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6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653AB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судопроизводства</w:t>
      </w:r>
      <w:r w:rsidR="00F9431E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предлагается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431E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344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тдельные процессуальные действия 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мог</w:t>
      </w:r>
      <w:r w:rsidR="00142344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42344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цифровой форме вне зависимо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формата судопроизводства, т.е. суд</w:t>
      </w:r>
      <w:r w:rsidR="00E84D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E84D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9E6245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</w:t>
      </w:r>
      <w:r w:rsidR="00E8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F422E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цифровые технологии, как </w:t>
      </w:r>
      <w:r w:rsidR="006044B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422E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6044B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22E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6044B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422E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цифровом формате рассмотрения дела</w:t>
      </w:r>
      <w:r w:rsid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технологических системах</w:t>
      </w:r>
      <w:r w:rsidR="00014F57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судопроизводства</w:t>
      </w:r>
      <w:r w:rsidR="00F422E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F6D52B" w14:textId="75D7BDAD" w:rsidR="00334B84" w:rsidRPr="00755EC6" w:rsidRDefault="00334B84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42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содержит</w:t>
      </w:r>
      <w:r w:rsidR="00014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Верховному суду и Совету судей усовершенствовать действующую </w:t>
      </w:r>
      <w:r w:rsidR="003774DC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«Суд» с 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последующим </w:t>
      </w:r>
      <w:r w:rsidR="00AE70C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переформатированием в 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 w:rsidR="00AE70C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="00AE70C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AE70C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судопроизводства, котор</w:t>
      </w:r>
      <w:r w:rsidR="00AE70C3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</w:t>
      </w:r>
      <w:r w:rsidR="00AB72ED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граждан к судебной защите с использованием </w:t>
      </w:r>
      <w:r w:rsidR="00AB72ED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обновляемых сервисов</w:t>
      </w:r>
      <w:r w:rsidR="00710A86"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онлайн-правосудия. </w:t>
      </w:r>
    </w:p>
    <w:p w14:paraId="7740396F" w14:textId="2E472245" w:rsidR="009031CC" w:rsidRPr="009031CC" w:rsidRDefault="006D0B69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изменения в последующем позволят</w:t>
      </w:r>
      <w:r w:rsidR="009031CC" w:rsidRPr="009031CC">
        <w:rPr>
          <w:rFonts w:ascii="Times New Roman" w:hAnsi="Times New Roman" w:cs="Times New Roman"/>
          <w:sz w:val="28"/>
          <w:szCs w:val="28"/>
        </w:rPr>
        <w:t>:</w:t>
      </w:r>
    </w:p>
    <w:p w14:paraId="75E841CB" w14:textId="55F9A65B" w:rsidR="009031CC" w:rsidRPr="009031CC" w:rsidRDefault="009031CC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CC">
        <w:rPr>
          <w:rFonts w:ascii="Times New Roman" w:hAnsi="Times New Roman" w:cs="Times New Roman"/>
          <w:b/>
          <w:bCs/>
          <w:sz w:val="28"/>
          <w:szCs w:val="28"/>
        </w:rPr>
        <w:t>Улучш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="00FF2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834" w:rsidRPr="00BB57A6">
        <w:rPr>
          <w:rFonts w:ascii="Times New Roman" w:hAnsi="Times New Roman" w:cs="Times New Roman"/>
          <w:b/>
          <w:bCs/>
          <w:sz w:val="28"/>
          <w:szCs w:val="28"/>
        </w:rPr>
        <w:t>доступ</w:t>
      </w:r>
      <w:r w:rsidRPr="00BB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81C" w:rsidRPr="00BB57A6">
        <w:rPr>
          <w:rFonts w:ascii="Times New Roman" w:hAnsi="Times New Roman" w:cs="Times New Roman"/>
          <w:sz w:val="28"/>
          <w:szCs w:val="28"/>
        </w:rPr>
        <w:t>к правосудию</w:t>
      </w:r>
      <w:r w:rsidRPr="00BB57A6">
        <w:rPr>
          <w:rFonts w:ascii="Times New Roman" w:hAnsi="Times New Roman" w:cs="Times New Roman"/>
          <w:sz w:val="28"/>
          <w:szCs w:val="28"/>
        </w:rPr>
        <w:t>:</w:t>
      </w:r>
      <w:r w:rsidRPr="009031CC">
        <w:rPr>
          <w:rFonts w:ascii="Times New Roman" w:hAnsi="Times New Roman" w:cs="Times New Roman"/>
          <w:sz w:val="28"/>
          <w:szCs w:val="28"/>
        </w:rPr>
        <w:t xml:space="preserve"> Цифровые технологии существенно упрост</w:t>
      </w:r>
      <w:r w:rsidR="006D0B69">
        <w:rPr>
          <w:rFonts w:ascii="Times New Roman" w:hAnsi="Times New Roman" w:cs="Times New Roman"/>
          <w:sz w:val="28"/>
          <w:szCs w:val="28"/>
        </w:rPr>
        <w:t>я</w:t>
      </w:r>
      <w:r w:rsidRPr="009031CC">
        <w:rPr>
          <w:rFonts w:ascii="Times New Roman" w:hAnsi="Times New Roman" w:cs="Times New Roman"/>
          <w:sz w:val="28"/>
          <w:szCs w:val="28"/>
        </w:rPr>
        <w:t xml:space="preserve">т процесс обращения в суд для граждан, сделав его более доступным и удобным. </w:t>
      </w:r>
      <w:r w:rsidR="006D0B69">
        <w:rPr>
          <w:rFonts w:ascii="Times New Roman" w:hAnsi="Times New Roman" w:cs="Times New Roman"/>
          <w:sz w:val="28"/>
          <w:szCs w:val="28"/>
        </w:rPr>
        <w:t>Цифровые</w:t>
      </w:r>
      <w:r w:rsidRPr="009031CC">
        <w:rPr>
          <w:rFonts w:ascii="Times New Roman" w:hAnsi="Times New Roman" w:cs="Times New Roman"/>
          <w:sz w:val="28"/>
          <w:szCs w:val="28"/>
        </w:rPr>
        <w:t xml:space="preserve"> платформы для подачи документов и получения информации позволят сократить время и ресурсы, необходимые для участия в судебных процессах.</w:t>
      </w:r>
    </w:p>
    <w:p w14:paraId="6A310D4B" w14:textId="4D75C821" w:rsidR="009031CC" w:rsidRPr="009031CC" w:rsidRDefault="009031CC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CC">
        <w:rPr>
          <w:rFonts w:ascii="Times New Roman" w:hAnsi="Times New Roman" w:cs="Times New Roman"/>
          <w:b/>
          <w:bCs/>
          <w:sz w:val="28"/>
          <w:szCs w:val="28"/>
        </w:rPr>
        <w:t>Повы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сить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</w:t>
      </w:r>
      <w:r w:rsidR="003E28D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и скорост</w:t>
      </w:r>
      <w:r w:rsidR="003E28D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судопроизводства</w:t>
      </w:r>
      <w:r w:rsidRPr="009031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31C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031CC">
        <w:rPr>
          <w:rFonts w:ascii="Times New Roman" w:hAnsi="Times New Roman" w:cs="Times New Roman"/>
          <w:sz w:val="28"/>
          <w:szCs w:val="28"/>
        </w:rPr>
        <w:t xml:space="preserve"> позволит автоматизировать множество рутинных процессов, таких как подготовка документов, планирование заседаний и обмен информацией между сторонами. Это ускорит ход рассмотрения дел и сократит время, затрачиваемое на административные процедуры.</w:t>
      </w:r>
    </w:p>
    <w:p w14:paraId="76D7DC85" w14:textId="0D9981CA" w:rsidR="009031CC" w:rsidRPr="009031CC" w:rsidRDefault="009031CC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CC">
        <w:rPr>
          <w:rFonts w:ascii="Times New Roman" w:hAnsi="Times New Roman" w:cs="Times New Roman"/>
          <w:b/>
          <w:bCs/>
          <w:sz w:val="28"/>
          <w:szCs w:val="28"/>
        </w:rPr>
        <w:t>Улучш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качеств</w:t>
      </w:r>
      <w:r w:rsidR="003E28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принимаемых решений</w:t>
      </w:r>
      <w:r w:rsidRPr="009031CC">
        <w:rPr>
          <w:rFonts w:ascii="Times New Roman" w:hAnsi="Times New Roman" w:cs="Times New Roman"/>
          <w:sz w:val="28"/>
          <w:szCs w:val="28"/>
        </w:rPr>
        <w:t xml:space="preserve">: Цифровые технологии могут предоставить судьям и другим участникам судебного процесса лучший доступ к информации, аналитическим данным и предыдущим судебным решениям. Это поможет принимать </w:t>
      </w:r>
      <w:r w:rsidR="002E5D02" w:rsidRPr="0072616C">
        <w:rPr>
          <w:rFonts w:ascii="Times New Roman" w:hAnsi="Times New Roman" w:cs="Times New Roman"/>
          <w:sz w:val="28"/>
          <w:szCs w:val="28"/>
        </w:rPr>
        <w:t>объективные</w:t>
      </w:r>
      <w:r w:rsidRPr="009031CC">
        <w:rPr>
          <w:rFonts w:ascii="Times New Roman" w:hAnsi="Times New Roman" w:cs="Times New Roman"/>
          <w:sz w:val="28"/>
          <w:szCs w:val="28"/>
        </w:rPr>
        <w:t xml:space="preserve"> и обоснованные решения, повышая качество юстиции.</w:t>
      </w:r>
    </w:p>
    <w:p w14:paraId="5233D832" w14:textId="21D5A440" w:rsidR="009031CC" w:rsidRPr="009031CC" w:rsidRDefault="009031CC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CC">
        <w:rPr>
          <w:rFonts w:ascii="Times New Roman" w:hAnsi="Times New Roman" w:cs="Times New Roman"/>
          <w:b/>
          <w:bCs/>
          <w:sz w:val="28"/>
          <w:szCs w:val="28"/>
        </w:rPr>
        <w:t>Сокра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тить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бюрократически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и издержк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031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31C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031CC">
        <w:rPr>
          <w:rFonts w:ascii="Times New Roman" w:hAnsi="Times New Roman" w:cs="Times New Roman"/>
          <w:sz w:val="28"/>
          <w:szCs w:val="28"/>
        </w:rPr>
        <w:t xml:space="preserve"> позволит снизить объем бумажной работы и упростить административные процессы, что в свою очередь сократит издержки на судопроизводство и повысит эффективность расходования бюджетных средств.</w:t>
      </w:r>
    </w:p>
    <w:p w14:paraId="29F9D600" w14:textId="6519977E" w:rsidR="009031CC" w:rsidRPr="009031CC" w:rsidRDefault="009031CC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CC">
        <w:rPr>
          <w:rFonts w:ascii="Times New Roman" w:hAnsi="Times New Roman" w:cs="Times New Roman"/>
          <w:b/>
          <w:bCs/>
          <w:sz w:val="28"/>
          <w:szCs w:val="28"/>
        </w:rPr>
        <w:t>Повы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сить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прозрачност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и довери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е граждан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судебной системе</w:t>
      </w:r>
      <w:r w:rsidRPr="009031CC">
        <w:rPr>
          <w:rFonts w:ascii="Times New Roman" w:hAnsi="Times New Roman" w:cs="Times New Roman"/>
          <w:sz w:val="28"/>
          <w:szCs w:val="28"/>
        </w:rPr>
        <w:t>: Цифровые технологии могут способствовать улучшению прозрачности судебных процессов путем обеспечения доступа к информации о ходе дела и судебных решениях. Это поможет гарантировать более открытое и справедливое судопроизводство, что в свою очередь повысит доверие общества к судебной системе.</w:t>
      </w:r>
    </w:p>
    <w:p w14:paraId="5A833976" w14:textId="039C8D15" w:rsidR="009031CC" w:rsidRDefault="009031CC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CC">
        <w:rPr>
          <w:rFonts w:ascii="Times New Roman" w:hAnsi="Times New Roman" w:cs="Times New Roman"/>
          <w:b/>
          <w:bCs/>
          <w:sz w:val="28"/>
          <w:szCs w:val="28"/>
        </w:rPr>
        <w:t>Обеспеч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данных и защит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прав</w:t>
      </w:r>
      <w:r w:rsidR="006D0B6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1CC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процесса</w:t>
      </w:r>
      <w:r w:rsidRPr="009031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31C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031CC">
        <w:rPr>
          <w:rFonts w:ascii="Times New Roman" w:hAnsi="Times New Roman" w:cs="Times New Roman"/>
          <w:sz w:val="28"/>
          <w:szCs w:val="28"/>
        </w:rPr>
        <w:t xml:space="preserve"> судопроизводства позволит обеспечить более надежную защиту конфиденциальности и целостности данных, а также предотвратить возможные нарушения прав участников судебного процесса.</w:t>
      </w:r>
    </w:p>
    <w:p w14:paraId="25337A5B" w14:textId="6B78498A" w:rsidR="00B36052" w:rsidRPr="00B77184" w:rsidRDefault="00B36052" w:rsidP="00035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законопроект нацелен на достижение целей </w:t>
      </w:r>
      <w:r w:rsidR="00203F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Государственной целевой программы «Развитие системы правосудия на 2023-2026 годы»</w:t>
      </w:r>
      <w:r w:rsidR="00203F3E">
        <w:rPr>
          <w:rFonts w:ascii="Times New Roman" w:hAnsi="Times New Roman" w:cs="Times New Roman"/>
          <w:sz w:val="28"/>
          <w:szCs w:val="28"/>
        </w:rPr>
        <w:t xml:space="preserve"> по обеспечению открытости и доступности правосудия, а также расширения применения использования цифровых технологий в системе правосудия. Поскольку согласно Плану мероприятий Государственной </w:t>
      </w:r>
      <w:r w:rsidR="00203F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целевой программы задачи по модернизации зданий и инфраструктуры судов, расширение применения и повышение эффективности и использования цифровых технологий в системе правосудия  </w:t>
      </w:r>
      <w:r w:rsidR="00203F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предусмотрены по 2026 год, срок вступления в силу данного закона установили с 1 января 2026 года. </w:t>
      </w:r>
    </w:p>
    <w:p w14:paraId="527F25FB" w14:textId="77777777" w:rsidR="00DC1AF1" w:rsidRPr="00755EC6" w:rsidRDefault="00334B84" w:rsidP="000356D2">
      <w:pPr>
        <w:tabs>
          <w:tab w:val="left" w:pos="993"/>
        </w:tabs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F1" w:rsidRPr="00755EC6">
        <w:rPr>
          <w:rFonts w:ascii="Times New Roman" w:eastAsia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3837EB1B" w14:textId="71C3E7B2" w:rsidR="00DC1AF1" w:rsidRPr="00B77184" w:rsidRDefault="00DC1AF1" w:rsidP="000356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Принятие данного законопроекта не влечет за собой отрицательных социальных, экономических, правовых, правозащитных, гендерных, экологических и коррупционных последствий.</w:t>
      </w:r>
    </w:p>
    <w:p w14:paraId="54432B2C" w14:textId="77777777" w:rsidR="00DC1AF1" w:rsidRPr="00755EC6" w:rsidRDefault="00DC1AF1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EC6">
        <w:rPr>
          <w:rFonts w:ascii="Times New Roman" w:eastAsia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14:paraId="28A95E63" w14:textId="7EFBE98E" w:rsidR="00DC1AF1" w:rsidRPr="00B77184" w:rsidRDefault="00DC1AF1" w:rsidP="000356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Для обеспечения общественного обсуждения и реализации статьи 22 Закона Кыргызской Республики «О нормативных правовых актах Кыргызской Республики» </w:t>
      </w:r>
      <w:r w:rsidR="00B54823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законо</w:t>
      </w: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проект размещен </w:t>
      </w:r>
      <w:r w:rsidR="00B710D9">
        <w:rPr>
          <w:rStyle w:val="s0"/>
          <w:rFonts w:ascii="Times New Roman" w:hAnsi="Times New Roman" w:cs="Times New Roman"/>
          <w:color w:val="000000"/>
          <w:sz w:val="28"/>
          <w:szCs w:val="28"/>
        </w:rPr>
        <w:t>19</w:t>
      </w:r>
      <w:r w:rsidR="00BE5E29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июля 2024 года </w:t>
      </w: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B54823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Верховного суда Кыргызской Республики</w:t>
      </w: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и на Едином портале общественного обсуждения проектов нормативных правовых актов (http://koomtalkuu.gov.kg). </w:t>
      </w:r>
    </w:p>
    <w:p w14:paraId="0496BDE8" w14:textId="77777777" w:rsidR="00DC1AF1" w:rsidRPr="00755EC6" w:rsidRDefault="00DC1AF1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5EC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5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Анализ соответствия проекта законодательству</w:t>
      </w:r>
    </w:p>
    <w:p w14:paraId="26001AC4" w14:textId="77777777" w:rsidR="00DC1AF1" w:rsidRPr="00755EC6" w:rsidRDefault="00DC1AF1" w:rsidP="000356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Цели, задачи и предмет правового регулирования </w:t>
      </w:r>
      <w:proofErr w:type="gramStart"/>
      <w:r w:rsidR="00417EF8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законо</w:t>
      </w: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проекта</w:t>
      </w:r>
      <w:proofErr w:type="gramEnd"/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и его содержание не противоречат Конституции Кыргызской Республики и законодательству Кыргызской Республики,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77B641FB" w14:textId="2FCF0CED" w:rsidR="00DC1AF1" w:rsidRPr="00755EC6" w:rsidRDefault="00300E43" w:rsidP="000356D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C1AF1" w:rsidRPr="00755EC6">
        <w:rPr>
          <w:rFonts w:ascii="Times New Roman" w:eastAsia="Times New Roman" w:hAnsi="Times New Roman" w:cs="Times New Roman"/>
          <w:b/>
          <w:sz w:val="28"/>
          <w:szCs w:val="28"/>
        </w:rPr>
        <w:t>. Информация о необходимости финансирования</w:t>
      </w:r>
    </w:p>
    <w:p w14:paraId="260E1F0A" w14:textId="75D4D5F0" w:rsidR="00DC1AF1" w:rsidRPr="00906B91" w:rsidRDefault="00DC1AF1" w:rsidP="000356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Источниками финансирования </w:t>
      </w:r>
      <w:r w:rsidR="002E4812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являются ранее установленные </w:t>
      </w:r>
      <w:r w:rsidR="001C4CDA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бюджетным </w:t>
      </w:r>
      <w:r w:rsidR="002E4812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1C4CDA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и ежегодно обновляемые</w:t>
      </w:r>
      <w:r w:rsidR="002E4812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нормативы выделения средств</w:t>
      </w:r>
      <w:r w:rsidR="008673D8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судебной системе</w:t>
      </w:r>
      <w:r w:rsidR="002E4812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, из которых финансируются </w:t>
      </w:r>
      <w:r w:rsidR="005324A7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содержание Верховного суда, Судебного департамента, Учреждения информационных технологий «</w:t>
      </w:r>
      <w:proofErr w:type="spellStart"/>
      <w:r w:rsidR="005324A7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Адилет</w:t>
      </w:r>
      <w:proofErr w:type="spellEnd"/>
      <w:r w:rsidR="00764EF5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4A7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сот».</w:t>
      </w:r>
      <w:r w:rsidR="008673D8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Отдельного дополнительного финансирования из </w:t>
      </w:r>
      <w:r w:rsidR="0066173C"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республиканского бюд</w:t>
      </w:r>
      <w:r w:rsidR="0084281C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жета для реализации </w:t>
      </w:r>
      <w:r w:rsidR="00906B91" w:rsidRPr="00906B9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предлагаемого </w:t>
      </w:r>
      <w:r w:rsidR="0066173C" w:rsidRPr="00906B9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B9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законопроекта </w:t>
      </w:r>
      <w:r w:rsidR="0066173C" w:rsidRPr="00906B91">
        <w:rPr>
          <w:rStyle w:val="s0"/>
          <w:rFonts w:ascii="Times New Roman" w:hAnsi="Times New Roman" w:cs="Times New Roman"/>
          <w:color w:val="000000"/>
          <w:sz w:val="28"/>
          <w:szCs w:val="28"/>
        </w:rPr>
        <w:t>ГПК</w:t>
      </w:r>
      <w:r w:rsidR="006D0B69" w:rsidRPr="00906B9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и АПК</w:t>
      </w:r>
      <w:r w:rsidR="0066173C" w:rsidRPr="00906B91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не потребуется.</w:t>
      </w:r>
    </w:p>
    <w:p w14:paraId="70362619" w14:textId="030E3D16" w:rsidR="00300E43" w:rsidRPr="00755EC6" w:rsidRDefault="00300E43" w:rsidP="000356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55EC6">
        <w:rPr>
          <w:rFonts w:ascii="Times New Roman" w:eastAsia="Times New Roman" w:hAnsi="Times New Roman" w:cs="Times New Roman"/>
          <w:b/>
          <w:sz w:val="28"/>
          <w:szCs w:val="28"/>
        </w:rPr>
        <w:t>. Информация об анализе регулятивного воздействия</w:t>
      </w:r>
    </w:p>
    <w:p w14:paraId="68607980" w14:textId="77777777" w:rsidR="00300E43" w:rsidRPr="00755EC6" w:rsidRDefault="00300E43" w:rsidP="000356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Законопроект регулирует исключительно правила судопроизводства по гражданским и экономическим дела</w:t>
      </w:r>
      <w:r>
        <w:rPr>
          <w:rStyle w:val="s0"/>
          <w:rFonts w:ascii="Times New Roman" w:hAnsi="Times New Roman" w:cs="Times New Roman"/>
          <w:color w:val="000000"/>
          <w:sz w:val="28"/>
          <w:szCs w:val="28"/>
        </w:rPr>
        <w:t>м</w:t>
      </w:r>
      <w:r w:rsidRPr="00755EC6">
        <w:rPr>
          <w:rStyle w:val="s0"/>
          <w:rFonts w:ascii="Times New Roman" w:hAnsi="Times New Roman" w:cs="Times New Roman"/>
          <w:color w:val="000000"/>
          <w:sz w:val="28"/>
          <w:szCs w:val="28"/>
        </w:rPr>
        <w:t>, не затрагивает вопросы предпринимательской деятельности и, следовательно, не нуждается в анализе регулятивного воздействия.</w:t>
      </w:r>
    </w:p>
    <w:p w14:paraId="06C988FF" w14:textId="77777777" w:rsidR="00A936A1" w:rsidRDefault="00A936A1" w:rsidP="000356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</w:p>
    <w:p w14:paraId="46DF8EFE" w14:textId="05537CCB" w:rsidR="005D0BCF" w:rsidRDefault="00EF3F5F" w:rsidP="000356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F3F5F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 w:rsidRPr="00EF3F5F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председателя</w:t>
      </w:r>
    </w:p>
    <w:p w14:paraId="4D174E48" w14:textId="097D80DE" w:rsidR="00D06585" w:rsidRPr="00D06585" w:rsidRDefault="00D06585" w:rsidP="000356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</w:pP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 xml:space="preserve">Верховного суда </w:t>
      </w:r>
    </w:p>
    <w:p w14:paraId="65832AD9" w14:textId="2B929895" w:rsidR="00D06585" w:rsidRPr="00D06585" w:rsidRDefault="00D06585" w:rsidP="000356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</w:pP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Кыргызской Республики</w:t>
      </w: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  <w:r w:rsidRPr="00D06585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</w:t>
      </w:r>
      <w:r w:rsidR="0049223C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3F5F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Н. Мусаев</w:t>
      </w:r>
    </w:p>
    <w:sectPr w:rsidR="00D06585" w:rsidRPr="00D06585" w:rsidSect="001022D7">
      <w:footerReference w:type="even" r:id="rId8"/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5C894" w14:textId="77777777" w:rsidR="007944F3" w:rsidRDefault="007944F3" w:rsidP="00601454">
      <w:pPr>
        <w:spacing w:after="0" w:line="240" w:lineRule="auto"/>
      </w:pPr>
      <w:r>
        <w:separator/>
      </w:r>
    </w:p>
  </w:endnote>
  <w:endnote w:type="continuationSeparator" w:id="0">
    <w:p w14:paraId="6969CA7D" w14:textId="77777777" w:rsidR="007944F3" w:rsidRDefault="007944F3" w:rsidP="0060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69930467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3587FF1" w14:textId="77777777" w:rsidR="00A73A9C" w:rsidRDefault="00A73A9C" w:rsidP="002F1A0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253142C7" w14:textId="77777777" w:rsidR="00A73A9C" w:rsidRDefault="00A73A9C" w:rsidP="00A73A9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04907236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CC0CC33" w14:textId="6B9972A0" w:rsidR="00A73A9C" w:rsidRDefault="00A73A9C" w:rsidP="002F1A00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EF3F5F">
          <w:rPr>
            <w:rStyle w:val="a9"/>
            <w:noProof/>
          </w:rPr>
          <w:t>9</w:t>
        </w:r>
        <w:r>
          <w:rPr>
            <w:rStyle w:val="a9"/>
          </w:rPr>
          <w:fldChar w:fldCharType="end"/>
        </w:r>
      </w:p>
    </w:sdtContent>
  </w:sdt>
  <w:p w14:paraId="2B6690C7" w14:textId="77777777" w:rsidR="00A73A9C" w:rsidRDefault="00A73A9C" w:rsidP="00A73A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C244A" w14:textId="77777777" w:rsidR="007944F3" w:rsidRDefault="007944F3" w:rsidP="00601454">
      <w:pPr>
        <w:spacing w:after="0" w:line="240" w:lineRule="auto"/>
      </w:pPr>
      <w:r>
        <w:separator/>
      </w:r>
    </w:p>
  </w:footnote>
  <w:footnote w:type="continuationSeparator" w:id="0">
    <w:p w14:paraId="0891A090" w14:textId="77777777" w:rsidR="007944F3" w:rsidRDefault="007944F3" w:rsidP="0060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67"/>
    <w:multiLevelType w:val="multilevel"/>
    <w:tmpl w:val="2C70356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64364AC"/>
    <w:multiLevelType w:val="hybridMultilevel"/>
    <w:tmpl w:val="E0D83A64"/>
    <w:lvl w:ilvl="0" w:tplc="22D23D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51E7E"/>
    <w:multiLevelType w:val="hybridMultilevel"/>
    <w:tmpl w:val="5B1A4ECE"/>
    <w:lvl w:ilvl="0" w:tplc="696A74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3A2DFD"/>
    <w:multiLevelType w:val="multilevel"/>
    <w:tmpl w:val="F156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B6CD2"/>
    <w:multiLevelType w:val="hybridMultilevel"/>
    <w:tmpl w:val="E1F61896"/>
    <w:lvl w:ilvl="0" w:tplc="22D23D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EE2AC3"/>
    <w:multiLevelType w:val="hybridMultilevel"/>
    <w:tmpl w:val="82FC60BA"/>
    <w:lvl w:ilvl="0" w:tplc="22D23D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A2F18"/>
    <w:multiLevelType w:val="hybridMultilevel"/>
    <w:tmpl w:val="B9323AE4"/>
    <w:lvl w:ilvl="0" w:tplc="EEF86142">
      <w:start w:val="1"/>
      <w:numFmt w:val="decimal"/>
      <w:lvlText w:val="%1."/>
      <w:lvlJc w:val="left"/>
      <w:pPr>
        <w:ind w:left="75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5E6A5093"/>
    <w:multiLevelType w:val="hybridMultilevel"/>
    <w:tmpl w:val="BEE4A99E"/>
    <w:lvl w:ilvl="0" w:tplc="1346C3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A63E1F"/>
    <w:multiLevelType w:val="hybridMultilevel"/>
    <w:tmpl w:val="F692DD74"/>
    <w:lvl w:ilvl="0" w:tplc="22D23D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61170C"/>
    <w:multiLevelType w:val="multilevel"/>
    <w:tmpl w:val="ABE4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A7"/>
    <w:rsid w:val="00003BBE"/>
    <w:rsid w:val="000050DF"/>
    <w:rsid w:val="00005C0E"/>
    <w:rsid w:val="00007C43"/>
    <w:rsid w:val="000146BD"/>
    <w:rsid w:val="00014F57"/>
    <w:rsid w:val="000158EF"/>
    <w:rsid w:val="00017442"/>
    <w:rsid w:val="000177F7"/>
    <w:rsid w:val="00020C69"/>
    <w:rsid w:val="00030D3B"/>
    <w:rsid w:val="000319C5"/>
    <w:rsid w:val="000356D2"/>
    <w:rsid w:val="00044B4B"/>
    <w:rsid w:val="000510A5"/>
    <w:rsid w:val="00052652"/>
    <w:rsid w:val="0005383C"/>
    <w:rsid w:val="00055266"/>
    <w:rsid w:val="000735D3"/>
    <w:rsid w:val="00075B5B"/>
    <w:rsid w:val="00093970"/>
    <w:rsid w:val="000946BE"/>
    <w:rsid w:val="000B3211"/>
    <w:rsid w:val="000B3FA3"/>
    <w:rsid w:val="000B7E10"/>
    <w:rsid w:val="000C4308"/>
    <w:rsid w:val="000C7DF1"/>
    <w:rsid w:val="000E249B"/>
    <w:rsid w:val="000E52FA"/>
    <w:rsid w:val="000F2AAB"/>
    <w:rsid w:val="000F4B7C"/>
    <w:rsid w:val="000F63ED"/>
    <w:rsid w:val="000F7954"/>
    <w:rsid w:val="001022D7"/>
    <w:rsid w:val="00120FD6"/>
    <w:rsid w:val="00142344"/>
    <w:rsid w:val="00143A6C"/>
    <w:rsid w:val="0014514D"/>
    <w:rsid w:val="00151C67"/>
    <w:rsid w:val="00155B0F"/>
    <w:rsid w:val="00161A91"/>
    <w:rsid w:val="00163238"/>
    <w:rsid w:val="001637B4"/>
    <w:rsid w:val="0016683B"/>
    <w:rsid w:val="00190FE2"/>
    <w:rsid w:val="0019722A"/>
    <w:rsid w:val="001A3AB2"/>
    <w:rsid w:val="001A7CA5"/>
    <w:rsid w:val="001B0B77"/>
    <w:rsid w:val="001B337A"/>
    <w:rsid w:val="001B5AF2"/>
    <w:rsid w:val="001C2D7E"/>
    <w:rsid w:val="001C4CDA"/>
    <w:rsid w:val="001C6DAD"/>
    <w:rsid w:val="001D6D6A"/>
    <w:rsid w:val="001E4B39"/>
    <w:rsid w:val="001F451E"/>
    <w:rsid w:val="00203B5A"/>
    <w:rsid w:val="00203F3E"/>
    <w:rsid w:val="00207A70"/>
    <w:rsid w:val="002103F1"/>
    <w:rsid w:val="00211A2E"/>
    <w:rsid w:val="00212CEA"/>
    <w:rsid w:val="002153F4"/>
    <w:rsid w:val="002167E7"/>
    <w:rsid w:val="00220F6D"/>
    <w:rsid w:val="002265A3"/>
    <w:rsid w:val="00233AE5"/>
    <w:rsid w:val="00233BDD"/>
    <w:rsid w:val="002355C0"/>
    <w:rsid w:val="00244C55"/>
    <w:rsid w:val="00257B98"/>
    <w:rsid w:val="00264EAC"/>
    <w:rsid w:val="002679E8"/>
    <w:rsid w:val="0028173B"/>
    <w:rsid w:val="002837AD"/>
    <w:rsid w:val="00283C11"/>
    <w:rsid w:val="00284492"/>
    <w:rsid w:val="002847DA"/>
    <w:rsid w:val="00294305"/>
    <w:rsid w:val="002A1441"/>
    <w:rsid w:val="002A6F0C"/>
    <w:rsid w:val="002B44ED"/>
    <w:rsid w:val="002D7023"/>
    <w:rsid w:val="002E4812"/>
    <w:rsid w:val="002E5D02"/>
    <w:rsid w:val="002F6739"/>
    <w:rsid w:val="003004F5"/>
    <w:rsid w:val="00300E43"/>
    <w:rsid w:val="0030460C"/>
    <w:rsid w:val="00316B44"/>
    <w:rsid w:val="00320DCF"/>
    <w:rsid w:val="00323BBF"/>
    <w:rsid w:val="00331ADB"/>
    <w:rsid w:val="00334B84"/>
    <w:rsid w:val="00341AE9"/>
    <w:rsid w:val="00341F00"/>
    <w:rsid w:val="00350E12"/>
    <w:rsid w:val="00355AE0"/>
    <w:rsid w:val="00362766"/>
    <w:rsid w:val="003653AB"/>
    <w:rsid w:val="00366F62"/>
    <w:rsid w:val="003721A7"/>
    <w:rsid w:val="003723A2"/>
    <w:rsid w:val="003774DC"/>
    <w:rsid w:val="00384078"/>
    <w:rsid w:val="003901A2"/>
    <w:rsid w:val="003A6863"/>
    <w:rsid w:val="003B1640"/>
    <w:rsid w:val="003C0FC0"/>
    <w:rsid w:val="003C1103"/>
    <w:rsid w:val="003D19D7"/>
    <w:rsid w:val="003D2327"/>
    <w:rsid w:val="003D2D83"/>
    <w:rsid w:val="003D4FCE"/>
    <w:rsid w:val="003E28DA"/>
    <w:rsid w:val="003E395D"/>
    <w:rsid w:val="003E7530"/>
    <w:rsid w:val="003F2F75"/>
    <w:rsid w:val="00400B42"/>
    <w:rsid w:val="00402E10"/>
    <w:rsid w:val="00402F9C"/>
    <w:rsid w:val="00410FC8"/>
    <w:rsid w:val="00413D5B"/>
    <w:rsid w:val="00417EF8"/>
    <w:rsid w:val="004244E8"/>
    <w:rsid w:val="00424613"/>
    <w:rsid w:val="004277BD"/>
    <w:rsid w:val="00433F26"/>
    <w:rsid w:val="0044214A"/>
    <w:rsid w:val="00450E2B"/>
    <w:rsid w:val="004539E6"/>
    <w:rsid w:val="00464526"/>
    <w:rsid w:val="00465DE2"/>
    <w:rsid w:val="00465FA3"/>
    <w:rsid w:val="00474DBB"/>
    <w:rsid w:val="00476C37"/>
    <w:rsid w:val="0049223C"/>
    <w:rsid w:val="0049716B"/>
    <w:rsid w:val="004A5AEA"/>
    <w:rsid w:val="004A7993"/>
    <w:rsid w:val="004D6E7B"/>
    <w:rsid w:val="004E1D5E"/>
    <w:rsid w:val="004E4960"/>
    <w:rsid w:val="004F3ECB"/>
    <w:rsid w:val="005004C6"/>
    <w:rsid w:val="00503A2A"/>
    <w:rsid w:val="00510CAB"/>
    <w:rsid w:val="00516E4C"/>
    <w:rsid w:val="00526660"/>
    <w:rsid w:val="0052775F"/>
    <w:rsid w:val="00527DFE"/>
    <w:rsid w:val="005324A7"/>
    <w:rsid w:val="00535411"/>
    <w:rsid w:val="00536AAC"/>
    <w:rsid w:val="005441B6"/>
    <w:rsid w:val="00544A30"/>
    <w:rsid w:val="005478B3"/>
    <w:rsid w:val="00550B0C"/>
    <w:rsid w:val="0055395D"/>
    <w:rsid w:val="005560CC"/>
    <w:rsid w:val="00556697"/>
    <w:rsid w:val="005A15A6"/>
    <w:rsid w:val="005A493F"/>
    <w:rsid w:val="005A4D41"/>
    <w:rsid w:val="005C5CFA"/>
    <w:rsid w:val="005D0BCF"/>
    <w:rsid w:val="005D5468"/>
    <w:rsid w:val="005F2D36"/>
    <w:rsid w:val="005F3AE1"/>
    <w:rsid w:val="005F4216"/>
    <w:rsid w:val="005F43CD"/>
    <w:rsid w:val="00601454"/>
    <w:rsid w:val="006033AE"/>
    <w:rsid w:val="006044BC"/>
    <w:rsid w:val="00610CAE"/>
    <w:rsid w:val="00614F94"/>
    <w:rsid w:val="00632E22"/>
    <w:rsid w:val="00641109"/>
    <w:rsid w:val="00650562"/>
    <w:rsid w:val="00656E38"/>
    <w:rsid w:val="0066173C"/>
    <w:rsid w:val="00674C1E"/>
    <w:rsid w:val="006868CC"/>
    <w:rsid w:val="006A72B4"/>
    <w:rsid w:val="006B0C7B"/>
    <w:rsid w:val="006B6B0F"/>
    <w:rsid w:val="006C2A7D"/>
    <w:rsid w:val="006D0B69"/>
    <w:rsid w:val="006D188A"/>
    <w:rsid w:val="006D6DA5"/>
    <w:rsid w:val="006F69A7"/>
    <w:rsid w:val="00701D63"/>
    <w:rsid w:val="007040A7"/>
    <w:rsid w:val="0070436C"/>
    <w:rsid w:val="0070775E"/>
    <w:rsid w:val="00710A86"/>
    <w:rsid w:val="0072616C"/>
    <w:rsid w:val="007320D7"/>
    <w:rsid w:val="00732E20"/>
    <w:rsid w:val="00735C77"/>
    <w:rsid w:val="007367A6"/>
    <w:rsid w:val="00741A8A"/>
    <w:rsid w:val="00744288"/>
    <w:rsid w:val="007452C3"/>
    <w:rsid w:val="00750228"/>
    <w:rsid w:val="00750BA6"/>
    <w:rsid w:val="00755EC6"/>
    <w:rsid w:val="00755F0A"/>
    <w:rsid w:val="00763841"/>
    <w:rsid w:val="00764EF5"/>
    <w:rsid w:val="0077384A"/>
    <w:rsid w:val="007770D5"/>
    <w:rsid w:val="00780B51"/>
    <w:rsid w:val="00783425"/>
    <w:rsid w:val="0078538B"/>
    <w:rsid w:val="007944F3"/>
    <w:rsid w:val="00796BD2"/>
    <w:rsid w:val="007A068C"/>
    <w:rsid w:val="007A46B9"/>
    <w:rsid w:val="007A518F"/>
    <w:rsid w:val="007B745B"/>
    <w:rsid w:val="007C0178"/>
    <w:rsid w:val="007C4B02"/>
    <w:rsid w:val="007C5428"/>
    <w:rsid w:val="007C5DD7"/>
    <w:rsid w:val="007C615C"/>
    <w:rsid w:val="007E0D02"/>
    <w:rsid w:val="007E21B2"/>
    <w:rsid w:val="007E503E"/>
    <w:rsid w:val="007F5762"/>
    <w:rsid w:val="008003D8"/>
    <w:rsid w:val="0080081A"/>
    <w:rsid w:val="00803488"/>
    <w:rsid w:val="0080552C"/>
    <w:rsid w:val="00816A76"/>
    <w:rsid w:val="0082221B"/>
    <w:rsid w:val="00833715"/>
    <w:rsid w:val="00837329"/>
    <w:rsid w:val="0084281C"/>
    <w:rsid w:val="00843434"/>
    <w:rsid w:val="00845DE3"/>
    <w:rsid w:val="00852FF1"/>
    <w:rsid w:val="008673D8"/>
    <w:rsid w:val="00870673"/>
    <w:rsid w:val="00871423"/>
    <w:rsid w:val="008715A4"/>
    <w:rsid w:val="00871659"/>
    <w:rsid w:val="00871CED"/>
    <w:rsid w:val="00881F6C"/>
    <w:rsid w:val="00891822"/>
    <w:rsid w:val="00893126"/>
    <w:rsid w:val="00893874"/>
    <w:rsid w:val="008A040F"/>
    <w:rsid w:val="008A1C0E"/>
    <w:rsid w:val="008A2D43"/>
    <w:rsid w:val="008A551A"/>
    <w:rsid w:val="008B0FE0"/>
    <w:rsid w:val="008B16AA"/>
    <w:rsid w:val="008B3A08"/>
    <w:rsid w:val="008C2CA8"/>
    <w:rsid w:val="008C70CF"/>
    <w:rsid w:val="008E0EE3"/>
    <w:rsid w:val="008F155D"/>
    <w:rsid w:val="00902BE4"/>
    <w:rsid w:val="009031CC"/>
    <w:rsid w:val="00904F5F"/>
    <w:rsid w:val="00905BD5"/>
    <w:rsid w:val="00906B91"/>
    <w:rsid w:val="00916AD0"/>
    <w:rsid w:val="00916B74"/>
    <w:rsid w:val="00916EC4"/>
    <w:rsid w:val="00923C79"/>
    <w:rsid w:val="0092585D"/>
    <w:rsid w:val="00927D35"/>
    <w:rsid w:val="00940AA9"/>
    <w:rsid w:val="009416B4"/>
    <w:rsid w:val="00965FD3"/>
    <w:rsid w:val="00970F5F"/>
    <w:rsid w:val="0097262C"/>
    <w:rsid w:val="00975AE4"/>
    <w:rsid w:val="00975D99"/>
    <w:rsid w:val="00985126"/>
    <w:rsid w:val="00990F08"/>
    <w:rsid w:val="009A1A50"/>
    <w:rsid w:val="009B0D0D"/>
    <w:rsid w:val="009C4A31"/>
    <w:rsid w:val="009C7520"/>
    <w:rsid w:val="009C752B"/>
    <w:rsid w:val="009D1094"/>
    <w:rsid w:val="009D2578"/>
    <w:rsid w:val="009D7BD7"/>
    <w:rsid w:val="009E3865"/>
    <w:rsid w:val="009E6245"/>
    <w:rsid w:val="00A208A5"/>
    <w:rsid w:val="00A27038"/>
    <w:rsid w:val="00A310DE"/>
    <w:rsid w:val="00A36AD8"/>
    <w:rsid w:val="00A37E48"/>
    <w:rsid w:val="00A43052"/>
    <w:rsid w:val="00A43EED"/>
    <w:rsid w:val="00A545CD"/>
    <w:rsid w:val="00A572F6"/>
    <w:rsid w:val="00A67B42"/>
    <w:rsid w:val="00A73A9C"/>
    <w:rsid w:val="00A801FF"/>
    <w:rsid w:val="00A87F70"/>
    <w:rsid w:val="00A91DF6"/>
    <w:rsid w:val="00A936A1"/>
    <w:rsid w:val="00A958BB"/>
    <w:rsid w:val="00AA1C33"/>
    <w:rsid w:val="00AB209E"/>
    <w:rsid w:val="00AB72ED"/>
    <w:rsid w:val="00AE70C3"/>
    <w:rsid w:val="00AF32FC"/>
    <w:rsid w:val="00B009B4"/>
    <w:rsid w:val="00B03CAF"/>
    <w:rsid w:val="00B10B88"/>
    <w:rsid w:val="00B2436B"/>
    <w:rsid w:val="00B26788"/>
    <w:rsid w:val="00B26997"/>
    <w:rsid w:val="00B32FB9"/>
    <w:rsid w:val="00B36052"/>
    <w:rsid w:val="00B362C6"/>
    <w:rsid w:val="00B37B1E"/>
    <w:rsid w:val="00B40A32"/>
    <w:rsid w:val="00B51CF5"/>
    <w:rsid w:val="00B54823"/>
    <w:rsid w:val="00B577E9"/>
    <w:rsid w:val="00B60250"/>
    <w:rsid w:val="00B710D9"/>
    <w:rsid w:val="00B71DE8"/>
    <w:rsid w:val="00B72B41"/>
    <w:rsid w:val="00B77184"/>
    <w:rsid w:val="00B77B52"/>
    <w:rsid w:val="00B8707C"/>
    <w:rsid w:val="00B916D5"/>
    <w:rsid w:val="00B96BA2"/>
    <w:rsid w:val="00B97225"/>
    <w:rsid w:val="00BA0359"/>
    <w:rsid w:val="00BA41FF"/>
    <w:rsid w:val="00BA5201"/>
    <w:rsid w:val="00BB4940"/>
    <w:rsid w:val="00BB57A6"/>
    <w:rsid w:val="00BC3C68"/>
    <w:rsid w:val="00BC4896"/>
    <w:rsid w:val="00BC7868"/>
    <w:rsid w:val="00BD3BB9"/>
    <w:rsid w:val="00BD4A81"/>
    <w:rsid w:val="00BE3BD0"/>
    <w:rsid w:val="00BE5E29"/>
    <w:rsid w:val="00C07E37"/>
    <w:rsid w:val="00C11C50"/>
    <w:rsid w:val="00C12E87"/>
    <w:rsid w:val="00C14719"/>
    <w:rsid w:val="00C1551A"/>
    <w:rsid w:val="00C16565"/>
    <w:rsid w:val="00C33D24"/>
    <w:rsid w:val="00C33FD5"/>
    <w:rsid w:val="00C356D2"/>
    <w:rsid w:val="00C363DE"/>
    <w:rsid w:val="00C41B5B"/>
    <w:rsid w:val="00C55E57"/>
    <w:rsid w:val="00C67CB2"/>
    <w:rsid w:val="00C70F13"/>
    <w:rsid w:val="00C7670F"/>
    <w:rsid w:val="00C951AF"/>
    <w:rsid w:val="00C95D1D"/>
    <w:rsid w:val="00C9692C"/>
    <w:rsid w:val="00CC041F"/>
    <w:rsid w:val="00CD204C"/>
    <w:rsid w:val="00CD5071"/>
    <w:rsid w:val="00CE2418"/>
    <w:rsid w:val="00D041A7"/>
    <w:rsid w:val="00D06585"/>
    <w:rsid w:val="00D074FD"/>
    <w:rsid w:val="00D11ADC"/>
    <w:rsid w:val="00D12E3A"/>
    <w:rsid w:val="00D21024"/>
    <w:rsid w:val="00D25545"/>
    <w:rsid w:val="00D30B8D"/>
    <w:rsid w:val="00D36BEF"/>
    <w:rsid w:val="00D4073C"/>
    <w:rsid w:val="00D4689C"/>
    <w:rsid w:val="00D509FF"/>
    <w:rsid w:val="00D53C4F"/>
    <w:rsid w:val="00D5765C"/>
    <w:rsid w:val="00D62FBC"/>
    <w:rsid w:val="00D67A55"/>
    <w:rsid w:val="00D7081D"/>
    <w:rsid w:val="00D8274A"/>
    <w:rsid w:val="00DA6E5A"/>
    <w:rsid w:val="00DA7CC0"/>
    <w:rsid w:val="00DB261B"/>
    <w:rsid w:val="00DB7511"/>
    <w:rsid w:val="00DC1AF1"/>
    <w:rsid w:val="00DC1C5F"/>
    <w:rsid w:val="00DD470B"/>
    <w:rsid w:val="00DD4CCA"/>
    <w:rsid w:val="00DE2F74"/>
    <w:rsid w:val="00DF0CDE"/>
    <w:rsid w:val="00DF3E3A"/>
    <w:rsid w:val="00DF5ABF"/>
    <w:rsid w:val="00E02391"/>
    <w:rsid w:val="00E04075"/>
    <w:rsid w:val="00E313E7"/>
    <w:rsid w:val="00E3156B"/>
    <w:rsid w:val="00E3441E"/>
    <w:rsid w:val="00E422EA"/>
    <w:rsid w:val="00E433BC"/>
    <w:rsid w:val="00E46B1C"/>
    <w:rsid w:val="00E46E8E"/>
    <w:rsid w:val="00E570B8"/>
    <w:rsid w:val="00E75704"/>
    <w:rsid w:val="00E76EC0"/>
    <w:rsid w:val="00E77F67"/>
    <w:rsid w:val="00E84D47"/>
    <w:rsid w:val="00E928BA"/>
    <w:rsid w:val="00EA30DC"/>
    <w:rsid w:val="00EB7B0C"/>
    <w:rsid w:val="00EC2427"/>
    <w:rsid w:val="00EC442D"/>
    <w:rsid w:val="00EC4975"/>
    <w:rsid w:val="00EC596A"/>
    <w:rsid w:val="00ED150E"/>
    <w:rsid w:val="00ED2C6E"/>
    <w:rsid w:val="00ED3612"/>
    <w:rsid w:val="00ED39D1"/>
    <w:rsid w:val="00EE4D2E"/>
    <w:rsid w:val="00EF2195"/>
    <w:rsid w:val="00EF3F5F"/>
    <w:rsid w:val="00F026F7"/>
    <w:rsid w:val="00F044BA"/>
    <w:rsid w:val="00F068C2"/>
    <w:rsid w:val="00F23312"/>
    <w:rsid w:val="00F24847"/>
    <w:rsid w:val="00F264D9"/>
    <w:rsid w:val="00F41C45"/>
    <w:rsid w:val="00F422E3"/>
    <w:rsid w:val="00F448D4"/>
    <w:rsid w:val="00F44D3B"/>
    <w:rsid w:val="00F44F6C"/>
    <w:rsid w:val="00F4750E"/>
    <w:rsid w:val="00F47ED4"/>
    <w:rsid w:val="00F52310"/>
    <w:rsid w:val="00F539A0"/>
    <w:rsid w:val="00F545F8"/>
    <w:rsid w:val="00F55A3C"/>
    <w:rsid w:val="00F617B7"/>
    <w:rsid w:val="00F738EA"/>
    <w:rsid w:val="00F7625C"/>
    <w:rsid w:val="00F7752B"/>
    <w:rsid w:val="00F77EBD"/>
    <w:rsid w:val="00F80697"/>
    <w:rsid w:val="00F9431E"/>
    <w:rsid w:val="00F969A7"/>
    <w:rsid w:val="00F971AC"/>
    <w:rsid w:val="00F97F95"/>
    <w:rsid w:val="00FA46F7"/>
    <w:rsid w:val="00FA6674"/>
    <w:rsid w:val="00FB59EC"/>
    <w:rsid w:val="00FB758F"/>
    <w:rsid w:val="00FC264A"/>
    <w:rsid w:val="00FD322C"/>
    <w:rsid w:val="00FF2834"/>
    <w:rsid w:val="00FF32A4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7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ки,List Paragraph2,Bullet 1,Use Case List Paragraph,Heading1,Colorful List - Accent 11,Colorful List - Accent 11CxSpLast"/>
    <w:basedOn w:val="a"/>
    <w:link w:val="a4"/>
    <w:uiPriority w:val="34"/>
    <w:qFormat/>
    <w:rsid w:val="007320D7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"/>
    <w:link w:val="a3"/>
    <w:uiPriority w:val="34"/>
    <w:locked/>
    <w:rsid w:val="00044B4B"/>
  </w:style>
  <w:style w:type="paragraph" w:customStyle="1" w:styleId="pc">
    <w:name w:val="pc"/>
    <w:basedOn w:val="a"/>
    <w:rsid w:val="00B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97225"/>
  </w:style>
  <w:style w:type="character" w:customStyle="1" w:styleId="s1">
    <w:name w:val="s1"/>
    <w:basedOn w:val="a0"/>
    <w:rsid w:val="00093970"/>
  </w:style>
  <w:style w:type="paragraph" w:styleId="a5">
    <w:name w:val="header"/>
    <w:basedOn w:val="a"/>
    <w:link w:val="a6"/>
    <w:uiPriority w:val="99"/>
    <w:unhideWhenUsed/>
    <w:rsid w:val="00601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454"/>
  </w:style>
  <w:style w:type="paragraph" w:styleId="a7">
    <w:name w:val="footer"/>
    <w:basedOn w:val="a"/>
    <w:link w:val="a8"/>
    <w:uiPriority w:val="99"/>
    <w:unhideWhenUsed/>
    <w:rsid w:val="00601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454"/>
  </w:style>
  <w:style w:type="character" w:styleId="a9">
    <w:name w:val="page number"/>
    <w:basedOn w:val="a0"/>
    <w:uiPriority w:val="99"/>
    <w:semiHidden/>
    <w:unhideWhenUsed/>
    <w:rsid w:val="00A73A9C"/>
  </w:style>
  <w:style w:type="character" w:styleId="aa">
    <w:name w:val="annotation reference"/>
    <w:basedOn w:val="a0"/>
    <w:uiPriority w:val="99"/>
    <w:semiHidden/>
    <w:unhideWhenUsed/>
    <w:rsid w:val="006C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2A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2A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2A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2A7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A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9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0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ки,List Paragraph2,Bullet 1,Use Case List Paragraph,Heading1,Colorful List - Accent 11,Colorful List - Accent 11CxSpLast"/>
    <w:basedOn w:val="a"/>
    <w:link w:val="a4"/>
    <w:uiPriority w:val="34"/>
    <w:qFormat/>
    <w:rsid w:val="007320D7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"/>
    <w:link w:val="a3"/>
    <w:uiPriority w:val="34"/>
    <w:locked/>
    <w:rsid w:val="00044B4B"/>
  </w:style>
  <w:style w:type="paragraph" w:customStyle="1" w:styleId="pc">
    <w:name w:val="pc"/>
    <w:basedOn w:val="a"/>
    <w:rsid w:val="00B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97225"/>
  </w:style>
  <w:style w:type="character" w:customStyle="1" w:styleId="s1">
    <w:name w:val="s1"/>
    <w:basedOn w:val="a0"/>
    <w:rsid w:val="00093970"/>
  </w:style>
  <w:style w:type="paragraph" w:styleId="a5">
    <w:name w:val="header"/>
    <w:basedOn w:val="a"/>
    <w:link w:val="a6"/>
    <w:uiPriority w:val="99"/>
    <w:unhideWhenUsed/>
    <w:rsid w:val="00601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454"/>
  </w:style>
  <w:style w:type="paragraph" w:styleId="a7">
    <w:name w:val="footer"/>
    <w:basedOn w:val="a"/>
    <w:link w:val="a8"/>
    <w:uiPriority w:val="99"/>
    <w:unhideWhenUsed/>
    <w:rsid w:val="00601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454"/>
  </w:style>
  <w:style w:type="character" w:styleId="a9">
    <w:name w:val="page number"/>
    <w:basedOn w:val="a0"/>
    <w:uiPriority w:val="99"/>
    <w:semiHidden/>
    <w:unhideWhenUsed/>
    <w:rsid w:val="00A73A9C"/>
  </w:style>
  <w:style w:type="character" w:styleId="aa">
    <w:name w:val="annotation reference"/>
    <w:basedOn w:val="a0"/>
    <w:uiPriority w:val="99"/>
    <w:semiHidden/>
    <w:unhideWhenUsed/>
    <w:rsid w:val="006C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2A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2A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2A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2A7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A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9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0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Айтбаева Үмүт Муратовна</cp:lastModifiedBy>
  <cp:revision>57</cp:revision>
  <cp:lastPrinted>2023-11-24T05:53:00Z</cp:lastPrinted>
  <dcterms:created xsi:type="dcterms:W3CDTF">2024-07-19T03:38:00Z</dcterms:created>
  <dcterms:modified xsi:type="dcterms:W3CDTF">2024-07-19T09:37:00Z</dcterms:modified>
</cp:coreProperties>
</file>