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90" w:rsidRDefault="00156290">
      <w:r>
        <w:t xml:space="preserve">ПОСТАНОВЛЕНИЕ ПЛЕНУМА ВЕРХОВНОГО СУДА </w:t>
      </w:r>
      <w:proofErr w:type="gramStart"/>
      <w:r>
        <w:t>КР</w:t>
      </w:r>
      <w:proofErr w:type="gramEnd"/>
      <w:r>
        <w:t xml:space="preserve"> от 30 марта 2018 года N 8 "</w:t>
      </w:r>
      <w:bookmarkStart w:id="0" w:name="_GoBack"/>
      <w:r>
        <w:t>О подготовке гражданских дел к судебному разбирательству</w:t>
      </w:r>
      <w:bookmarkEnd w:id="0"/>
      <w:r>
        <w:t>"</w:t>
      </w:r>
    </w:p>
    <w:p w:rsidR="00156290" w:rsidRDefault="00156290"/>
    <w:p w:rsidR="00156290" w:rsidRDefault="00156290" w:rsidP="00156290">
      <w:pPr>
        <w:pStyle w:val="tkForma"/>
      </w:pPr>
      <w:r>
        <w:t>ПОСТАНОВЛЕНИЕ ПЛЕНУМА ВЕРХОВНОГО СУДА КЫРГЫЗСКОЙ РЕСПУБЛИКИ</w:t>
      </w:r>
    </w:p>
    <w:p w:rsidR="00156290" w:rsidRDefault="00156290" w:rsidP="00156290">
      <w:pPr>
        <w:pStyle w:val="tkRekvizit"/>
      </w:pPr>
      <w:proofErr w:type="spellStart"/>
      <w:r>
        <w:t>г</w:t>
      </w:r>
      <w:proofErr w:type="gramStart"/>
      <w:r>
        <w:t>.Б</w:t>
      </w:r>
      <w:proofErr w:type="gramEnd"/>
      <w:r>
        <w:t>ишкек</w:t>
      </w:r>
      <w:proofErr w:type="spellEnd"/>
      <w:r>
        <w:t>, от 30 марта 2018 года № 8</w:t>
      </w:r>
    </w:p>
    <w:p w:rsidR="00156290" w:rsidRDefault="00156290" w:rsidP="00156290">
      <w:pPr>
        <w:pStyle w:val="tkNazvanie"/>
      </w:pPr>
      <w:r>
        <w:t>О подготовке гражданских дел к судебному разбирательству</w:t>
      </w:r>
    </w:p>
    <w:p w:rsidR="00156290" w:rsidRDefault="00156290" w:rsidP="00156290">
      <w:pPr>
        <w:pStyle w:val="tkTekst"/>
      </w:pPr>
      <w:r>
        <w:t>Одним из основных условий правильного и своевременного разрешения гражданских дел является проведение надлежащей подготовки их к судебному разбирательству.</w:t>
      </w:r>
    </w:p>
    <w:p w:rsidR="00156290" w:rsidRDefault="00156290" w:rsidP="00156290">
      <w:pPr>
        <w:pStyle w:val="tkTekst"/>
      </w:pPr>
      <w:r>
        <w:t xml:space="preserve">В целях обеспечения правильного и единообразного применения законодательства, регулирующего подготовку гражданских дел к судебному разбирательству, Пленум Верховного суда Кыргызской Республики, руководствуясь </w:t>
      </w:r>
      <w:hyperlink r:id="rId5" w:anchor="st_15" w:history="1">
        <w:r>
          <w:rPr>
            <w:rStyle w:val="a3"/>
          </w:rPr>
          <w:t>статьей 15</w:t>
        </w:r>
      </w:hyperlink>
      <w:r>
        <w:t xml:space="preserve"> Закона Кыргызской Республики "О Верховном суде Кыргызской Республики и местных судах", постановляет:</w:t>
      </w:r>
    </w:p>
    <w:p w:rsidR="00156290" w:rsidRDefault="00156290" w:rsidP="00156290">
      <w:pPr>
        <w:pStyle w:val="tkTekst"/>
      </w:pPr>
      <w:r>
        <w:t xml:space="preserve">1. Обратить внимание судов на то, что подготовка дела к судебному разбирательству является обязательной стадией гражданского процесса и проводится судьей с участием сторон и лиц, участвующих в деле (ч.3 </w:t>
      </w:r>
      <w:hyperlink r:id="rId6" w:anchor="st_150" w:history="1">
        <w:r>
          <w:rPr>
            <w:rStyle w:val="a3"/>
          </w:rPr>
          <w:t>ст.150</w:t>
        </w:r>
      </w:hyperlink>
      <w:r>
        <w:t xml:space="preserve"> ГПК </w:t>
      </w:r>
      <w:proofErr w:type="gramStart"/>
      <w:r>
        <w:t>КР</w:t>
      </w:r>
      <w:proofErr w:type="gramEnd"/>
      <w:r>
        <w:t>).</w:t>
      </w:r>
    </w:p>
    <w:p w:rsidR="00156290" w:rsidRDefault="00156290" w:rsidP="00156290">
      <w:pPr>
        <w:pStyle w:val="tkTekst"/>
      </w:pPr>
      <w:r>
        <w:t xml:space="preserve">2. Судья вправе приступить к подготовке дела к судебному разбирательству только после вынесения определения о принятии заявления к производству, то есть после возбуждения гражданского дела в суде (ч.2 </w:t>
      </w:r>
      <w:hyperlink r:id="rId7" w:anchor="st_136" w:history="1">
        <w:r>
          <w:rPr>
            <w:rStyle w:val="a3"/>
          </w:rPr>
          <w:t>ст.136</w:t>
        </w:r>
      </w:hyperlink>
      <w:r>
        <w:t xml:space="preserve"> ГПК </w:t>
      </w:r>
      <w:proofErr w:type="gramStart"/>
      <w:r>
        <w:t>КР</w:t>
      </w:r>
      <w:proofErr w:type="gramEnd"/>
      <w:r>
        <w:t>).</w:t>
      </w:r>
    </w:p>
    <w:p w:rsidR="00156290" w:rsidRDefault="00156290" w:rsidP="00156290">
      <w:pPr>
        <w:pStyle w:val="tkTekst"/>
      </w:pPr>
      <w:r>
        <w:t>Разъяснить судам, что отказ в принятии искового заявления (</w:t>
      </w:r>
      <w:hyperlink r:id="rId8" w:anchor="st_137" w:history="1">
        <w:r>
          <w:rPr>
            <w:rStyle w:val="a3"/>
          </w:rPr>
          <w:t>ст.137</w:t>
        </w:r>
      </w:hyperlink>
      <w:r>
        <w:t xml:space="preserve"> ГПК </w:t>
      </w:r>
      <w:proofErr w:type="gramStart"/>
      <w:r>
        <w:t>КР</w:t>
      </w:r>
      <w:proofErr w:type="gramEnd"/>
      <w:r>
        <w:t>), возвращение искового заявления (</w:t>
      </w:r>
      <w:hyperlink r:id="rId9" w:anchor="st_138" w:history="1">
        <w:r>
          <w:rPr>
            <w:rStyle w:val="a3"/>
          </w:rPr>
          <w:t>ст.138</w:t>
        </w:r>
      </w:hyperlink>
      <w:r>
        <w:t xml:space="preserve"> ГПК КР) и оставление искового заявления без движения (</w:t>
      </w:r>
      <w:hyperlink r:id="rId10" w:anchor="st_139" w:history="1">
        <w:r>
          <w:rPr>
            <w:rStyle w:val="a3"/>
          </w:rPr>
          <w:t>ст.139</w:t>
        </w:r>
      </w:hyperlink>
      <w:r>
        <w:t xml:space="preserve"> ГПК КР) возможны лишь на стадии возбуждения гражданского дела и недопустимы на стадии подготовки дела к судебному разбирательству.</w:t>
      </w:r>
    </w:p>
    <w:p w:rsidR="00156290" w:rsidRDefault="00156290" w:rsidP="00156290">
      <w:pPr>
        <w:pStyle w:val="tkTekst"/>
      </w:pPr>
      <w:r>
        <w:t xml:space="preserve">3. Судья выносит определение о подготовке дела к судебному разбирательству и указывает действия, которые следует произвести сторонам и другим лицам, участвующим в деле, а также сроки совершения этих действий в соответствии со </w:t>
      </w:r>
      <w:hyperlink r:id="rId11" w:anchor="st_152" w:history="1">
        <w:r>
          <w:rPr>
            <w:rStyle w:val="a3"/>
          </w:rPr>
          <w:t>ст.152</w:t>
        </w:r>
      </w:hyperlink>
      <w:r>
        <w:t xml:space="preserve"> ГПК КР.</w:t>
      </w:r>
    </w:p>
    <w:p w:rsidR="00156290" w:rsidRDefault="00156290" w:rsidP="00156290">
      <w:pPr>
        <w:pStyle w:val="tkTekst"/>
      </w:pPr>
      <w:r>
        <w:t xml:space="preserve">В этом же определении указываются также действия самого судьи в данной стадии процесса, предусмотренные </w:t>
      </w:r>
      <w:hyperlink r:id="rId12" w:anchor="st_153" w:history="1">
        <w:r>
          <w:rPr>
            <w:rStyle w:val="a3"/>
          </w:rPr>
          <w:t>ст.153</w:t>
        </w:r>
      </w:hyperlink>
      <w:r>
        <w:t xml:space="preserve"> ГПК КР.</w:t>
      </w:r>
    </w:p>
    <w:p w:rsidR="00156290" w:rsidRDefault="00156290" w:rsidP="00156290">
      <w:pPr>
        <w:pStyle w:val="tkTekst"/>
      </w:pPr>
      <w:r>
        <w:t xml:space="preserve">Судья выносит определение о подготовке дела к судебному разбирательству также перед рассмотрением дела после отмены ранее вынесенного по существу судебного акта, а также определения о прекращении производства по делу (ч.4 </w:t>
      </w:r>
      <w:hyperlink r:id="rId13" w:anchor="st_150" w:history="1">
        <w:r>
          <w:rPr>
            <w:rStyle w:val="a3"/>
          </w:rPr>
          <w:t>ст.150</w:t>
        </w:r>
      </w:hyperlink>
      <w:r>
        <w:t xml:space="preserve"> ГПК </w:t>
      </w:r>
      <w:proofErr w:type="gramStart"/>
      <w:r>
        <w:t>КР</w:t>
      </w:r>
      <w:proofErr w:type="gramEnd"/>
      <w:r>
        <w:t>).</w:t>
      </w:r>
    </w:p>
    <w:p w:rsidR="00156290" w:rsidRDefault="00156290" w:rsidP="00156290">
      <w:pPr>
        <w:pStyle w:val="tkTekst"/>
      </w:pPr>
      <w:r>
        <w:t>Разъяснить судам, что определение о подготовке дела к судебному разбирательству обжалованию не подлежит и копия его сторонам не направляется.</w:t>
      </w:r>
    </w:p>
    <w:p w:rsidR="00156290" w:rsidRDefault="00156290" w:rsidP="00156290">
      <w:pPr>
        <w:pStyle w:val="tkTekst"/>
      </w:pPr>
      <w:r>
        <w:t>4. Следует отметить, что в порядке подготовки дела к судебному разбирательству судья предлагает ответчику представить письменное возражение на и</w:t>
      </w:r>
      <w:proofErr w:type="gramStart"/>
      <w:r>
        <w:t>ск в ср</w:t>
      </w:r>
      <w:proofErr w:type="gramEnd"/>
      <w:r>
        <w:t>ок, установленный судьей. При этом надо иметь в виду, что непредставление ответчиком письменного возражения на иск не препятствует рассмотрению дела по имеющимся в нем доказательствам (</w:t>
      </w:r>
      <w:proofErr w:type="spellStart"/>
      <w:r>
        <w:t>ст.ст</w:t>
      </w:r>
      <w:proofErr w:type="spellEnd"/>
      <w:r>
        <w:t xml:space="preserve">. </w:t>
      </w:r>
      <w:hyperlink r:id="rId14" w:anchor="st_152" w:history="1">
        <w:r>
          <w:rPr>
            <w:rStyle w:val="a3"/>
          </w:rPr>
          <w:t>152</w:t>
        </w:r>
      </w:hyperlink>
      <w:r>
        <w:t xml:space="preserve">, </w:t>
      </w:r>
      <w:hyperlink r:id="rId15" w:anchor="st_153" w:history="1">
        <w:r>
          <w:rPr>
            <w:rStyle w:val="a3"/>
          </w:rPr>
          <w:t>153</w:t>
        </w:r>
      </w:hyperlink>
      <w:r>
        <w:t xml:space="preserve"> ГПК </w:t>
      </w:r>
      <w:proofErr w:type="gramStart"/>
      <w:r>
        <w:t>КР</w:t>
      </w:r>
      <w:proofErr w:type="gramEnd"/>
      <w:r>
        <w:t>).</w:t>
      </w:r>
    </w:p>
    <w:p w:rsidR="00156290" w:rsidRDefault="00156290" w:rsidP="00156290">
      <w:pPr>
        <w:pStyle w:val="tkTekst"/>
      </w:pPr>
      <w:r>
        <w:t>5. Обратить внимание судов на задачи подготовки дела к судебному разбирательству, которыми являются:</w:t>
      </w:r>
    </w:p>
    <w:p w:rsidR="00156290" w:rsidRDefault="00156290" w:rsidP="00156290">
      <w:pPr>
        <w:pStyle w:val="tkTekst"/>
      </w:pPr>
      <w:r>
        <w:t>1) уточнение обстоятельств, имеющих значение для правильного разрешения дела;</w:t>
      </w:r>
    </w:p>
    <w:p w:rsidR="00156290" w:rsidRDefault="00156290" w:rsidP="00156290">
      <w:pPr>
        <w:pStyle w:val="tkTekst"/>
      </w:pPr>
      <w:r>
        <w:t>2) определение правоотношений сторон и закона, которым следует руководствоваться;</w:t>
      </w:r>
    </w:p>
    <w:p w:rsidR="00156290" w:rsidRDefault="00156290" w:rsidP="00156290">
      <w:pPr>
        <w:pStyle w:val="tkTekst"/>
      </w:pPr>
      <w:r>
        <w:t>3) разрешение вопроса о составе лиц, участвующих в деле;</w:t>
      </w:r>
    </w:p>
    <w:p w:rsidR="00156290" w:rsidRDefault="00156290" w:rsidP="00156290">
      <w:pPr>
        <w:pStyle w:val="tkTekst"/>
      </w:pPr>
      <w:r>
        <w:t>4) обеспечение представления необходимых доказатель</w:t>
      </w:r>
      <w:proofErr w:type="gramStart"/>
      <w:r>
        <w:t>ств ст</w:t>
      </w:r>
      <w:proofErr w:type="gramEnd"/>
      <w:r>
        <w:t>оронами и лицами, участвующими в деле;</w:t>
      </w:r>
    </w:p>
    <w:p w:rsidR="00156290" w:rsidRDefault="00156290" w:rsidP="00156290">
      <w:pPr>
        <w:pStyle w:val="tkTekst"/>
      </w:pPr>
      <w:r>
        <w:lastRenderedPageBreak/>
        <w:t>5) примирение сторон.</w:t>
      </w:r>
    </w:p>
    <w:p w:rsidR="00156290" w:rsidRDefault="00156290" w:rsidP="00156290">
      <w:pPr>
        <w:pStyle w:val="tkTekst"/>
      </w:pPr>
      <w:r>
        <w:t>Каждая из задач является необходимой для данной стадии процесса и невыполнение любой из них может привести к необоснованному затягиванию судебного разбирательства и судебной ошибке.</w:t>
      </w:r>
    </w:p>
    <w:p w:rsidR="00156290" w:rsidRDefault="00156290" w:rsidP="00156290">
      <w:pPr>
        <w:pStyle w:val="tkTekst"/>
      </w:pPr>
      <w:r>
        <w:t>5.1. Разъяснить судам, что уточнением обстоятельств, имеющих значение для правильного разрешения дела, является определение юридических фактов на основании требований и возражений лиц, участвующих в деле, с учетом подлежащих применению норм права. Определение обстоятельств, имеющих значение для дела, осуществляется судьей (</w:t>
      </w:r>
      <w:hyperlink r:id="rId16" w:anchor="st_65" w:history="1">
        <w:r>
          <w:rPr>
            <w:rStyle w:val="a3"/>
          </w:rPr>
          <w:t>ст.65</w:t>
        </w:r>
      </w:hyperlink>
      <w:r>
        <w:t xml:space="preserve"> ГПК </w:t>
      </w:r>
      <w:proofErr w:type="gramStart"/>
      <w:r>
        <w:t>КР</w:t>
      </w:r>
      <w:proofErr w:type="gramEnd"/>
      <w:r>
        <w:t>).</w:t>
      </w:r>
    </w:p>
    <w:p w:rsidR="00156290" w:rsidRDefault="00156290" w:rsidP="00156290">
      <w:pPr>
        <w:pStyle w:val="tkTekst"/>
      </w:pPr>
      <w:r>
        <w:t>5.2. При определении правоотношений сторон и закона, которым следует руководствоваться, суд должен исходить из совокупности данных: предмета и основания иска, возражений ответчика и иных обстоятельств, имеющих юридическое значение для правильного разрешения дела.</w:t>
      </w:r>
    </w:p>
    <w:p w:rsidR="00156290" w:rsidRDefault="00156290" w:rsidP="00156290">
      <w:pPr>
        <w:pStyle w:val="tkTekst"/>
      </w:pPr>
      <w:r>
        <w:t>При этом следует отметить, что указание истцом в обоснование иска конкретной правовой нормы не является для судьи определяющим.</w:t>
      </w:r>
    </w:p>
    <w:p w:rsidR="00156290" w:rsidRDefault="00156290" w:rsidP="00156290">
      <w:pPr>
        <w:pStyle w:val="tkTekst"/>
      </w:pPr>
      <w:r>
        <w:t xml:space="preserve">5.3. Судам следует разрешение вопроса о составе лиц, участвующих в деле, начинать с анализа правоотношений и установления конкретных носителей прав и обязанностей. Невыполнение этой задачи в стадии подготовки может привести к принятию незаконного и необоснованного решения, поскольку разрешение вопроса о правах и обязанностях лиц, не привлеченных к участию в деле, является существенным нарушением норм процессуального права, влекущим безусловную отмену решения в апелляционном порядке (п.7 ч.1 </w:t>
      </w:r>
      <w:hyperlink r:id="rId17" w:anchor="st_341" w:history="1">
        <w:r>
          <w:rPr>
            <w:rStyle w:val="a3"/>
          </w:rPr>
          <w:t>ст.341</w:t>
        </w:r>
      </w:hyperlink>
      <w:r>
        <w:t xml:space="preserve"> ГПК </w:t>
      </w:r>
      <w:proofErr w:type="gramStart"/>
      <w:r>
        <w:t>КР</w:t>
      </w:r>
      <w:proofErr w:type="gramEnd"/>
      <w:r>
        <w:t>).</w:t>
      </w:r>
    </w:p>
    <w:p w:rsidR="00156290" w:rsidRDefault="00156290" w:rsidP="00156290">
      <w:pPr>
        <w:pStyle w:val="tkTekst"/>
      </w:pPr>
      <w:r>
        <w:t xml:space="preserve">В соответствии с п.3 </w:t>
      </w:r>
      <w:hyperlink r:id="rId18" w:anchor="st_153" w:history="1">
        <w:r>
          <w:rPr>
            <w:rStyle w:val="a3"/>
          </w:rPr>
          <w:t>ст.153</w:t>
        </w:r>
      </w:hyperlink>
      <w:r>
        <w:t xml:space="preserve"> ГПК </w:t>
      </w:r>
      <w:proofErr w:type="gramStart"/>
      <w:r>
        <w:t>КР</w:t>
      </w:r>
      <w:proofErr w:type="gramEnd"/>
      <w:r>
        <w:t xml:space="preserve"> судья в порядке подготовки дела к судебному разбирательству разрешает ходатайство сторон о вступлении в дело соистцов, соответчиков и третьих лиц.</w:t>
      </w:r>
    </w:p>
    <w:p w:rsidR="00156290" w:rsidRDefault="00156290" w:rsidP="00156290">
      <w:pPr>
        <w:pStyle w:val="tkTekst"/>
      </w:pPr>
      <w:r>
        <w:t xml:space="preserve">Следует отметить, что в случаях, предусмотренных законом, суд вправе по ходатайству сторон или по своей инициативе привлечь для участия в деле соответчика или соответчиков. Определение суда о привлечении к участию в деле или об отказе в таком привлечении обжалованию не подлежит (ч.3 </w:t>
      </w:r>
      <w:hyperlink r:id="rId19" w:anchor="st_41" w:history="1">
        <w:r>
          <w:rPr>
            <w:rStyle w:val="a3"/>
          </w:rPr>
          <w:t>ст.41</w:t>
        </w:r>
      </w:hyperlink>
      <w:r>
        <w:t xml:space="preserve">, п.5 </w:t>
      </w:r>
      <w:hyperlink r:id="rId20" w:anchor="st_153" w:history="1">
        <w:r>
          <w:rPr>
            <w:rStyle w:val="a3"/>
          </w:rPr>
          <w:t>ст.153</w:t>
        </w:r>
      </w:hyperlink>
      <w:r>
        <w:t xml:space="preserve"> ГПК </w:t>
      </w:r>
      <w:proofErr w:type="gramStart"/>
      <w:r>
        <w:t>КР</w:t>
      </w:r>
      <w:proofErr w:type="gramEnd"/>
      <w:r>
        <w:t>).</w:t>
      </w:r>
    </w:p>
    <w:p w:rsidR="00156290" w:rsidRDefault="00156290" w:rsidP="00156290">
      <w:pPr>
        <w:pStyle w:val="tkTekst"/>
      </w:pPr>
      <w:r>
        <w:t>Однако, в случае предъявления иска не всеми лицами, которым принадлежит оспариваемое право, судья не вправе привлечь таких лиц к участию в деле в качестве соистцов без их согласия, поскольку в соответствии с принципом диспозитивности лицо, которому принадлежит право требования, распоряжается своими правами по своему усмотрению (</w:t>
      </w:r>
      <w:hyperlink r:id="rId21" w:anchor="st_11" w:history="1">
        <w:r>
          <w:rPr>
            <w:rStyle w:val="a3"/>
          </w:rPr>
          <w:t>ст.11</w:t>
        </w:r>
      </w:hyperlink>
      <w:r>
        <w:t xml:space="preserve"> ГПК </w:t>
      </w:r>
      <w:proofErr w:type="gramStart"/>
      <w:r>
        <w:t>КР</w:t>
      </w:r>
      <w:proofErr w:type="gramEnd"/>
      <w:r>
        <w:t>).</w:t>
      </w:r>
    </w:p>
    <w:p w:rsidR="00156290" w:rsidRDefault="00156290" w:rsidP="00156290">
      <w:pPr>
        <w:pStyle w:val="tkTekst"/>
      </w:pPr>
      <w:r>
        <w:t>Обратить внимание судов на то, что если при подготовке дела или во время его разбирательства в суде суд установит, что иск предъявлен не к тому лицу, которое должно отвечать по иску, он может только по ходатайству истца допустить замену ненадлежащего ответчика надлежащим. О замене ненадлежащего ответчика выносится определение, которое обжалованию не подлежит. После замены ненадлежащего ответчика подготовка и рассмотрение дела производятся с начала (</w:t>
      </w:r>
      <w:hyperlink r:id="rId22" w:anchor="st_42" w:history="1">
        <w:r>
          <w:rPr>
            <w:rStyle w:val="a3"/>
          </w:rPr>
          <w:t>ст.42</w:t>
        </w:r>
      </w:hyperlink>
      <w:r>
        <w:t xml:space="preserve"> ГПК </w:t>
      </w:r>
      <w:proofErr w:type="gramStart"/>
      <w:r>
        <w:t>КР</w:t>
      </w:r>
      <w:proofErr w:type="gramEnd"/>
      <w:r>
        <w:t>).</w:t>
      </w:r>
    </w:p>
    <w:p w:rsidR="00156290" w:rsidRDefault="00156290" w:rsidP="00156290">
      <w:pPr>
        <w:pStyle w:val="tkTekst"/>
      </w:pPr>
      <w:r>
        <w:t xml:space="preserve">Лицами, участвующими в деле, признаются стороны (истец и ответчик), третьи лица, прокурор, лица, обращающиеся в защиту прав других лиц или вступающие в процесс с целью дачи заключения по основаниям, предусмотренным </w:t>
      </w:r>
      <w:proofErr w:type="spellStart"/>
      <w:r>
        <w:t>ст.ст</w:t>
      </w:r>
      <w:proofErr w:type="spellEnd"/>
      <w:r>
        <w:t xml:space="preserve">. </w:t>
      </w:r>
      <w:hyperlink r:id="rId23" w:anchor="st_5" w:history="1">
        <w:r>
          <w:rPr>
            <w:rStyle w:val="a3"/>
          </w:rPr>
          <w:t>5</w:t>
        </w:r>
      </w:hyperlink>
      <w:r>
        <w:t xml:space="preserve">, </w:t>
      </w:r>
      <w:hyperlink r:id="rId24" w:anchor="st_49" w:history="1">
        <w:r>
          <w:rPr>
            <w:rStyle w:val="a3"/>
          </w:rPr>
          <w:t>49</w:t>
        </w:r>
      </w:hyperlink>
      <w:r>
        <w:t xml:space="preserve">, </w:t>
      </w:r>
      <w:hyperlink r:id="rId25" w:anchor="st_50" w:history="1">
        <w:r>
          <w:rPr>
            <w:rStyle w:val="a3"/>
          </w:rPr>
          <w:t>50</w:t>
        </w:r>
      </w:hyperlink>
      <w:r>
        <w:t xml:space="preserve"> ГПК </w:t>
      </w:r>
      <w:proofErr w:type="gramStart"/>
      <w:r>
        <w:t>КР</w:t>
      </w:r>
      <w:proofErr w:type="gramEnd"/>
      <w:r>
        <w:t>, заявители, заинтересованные лица по делам особого производства (</w:t>
      </w:r>
      <w:hyperlink r:id="rId26" w:anchor="st_36" w:history="1">
        <w:r>
          <w:rPr>
            <w:rStyle w:val="a3"/>
          </w:rPr>
          <w:t>ст.36</w:t>
        </w:r>
      </w:hyperlink>
      <w:r>
        <w:t xml:space="preserve"> ГПК КР).</w:t>
      </w:r>
    </w:p>
    <w:p w:rsidR="00156290" w:rsidRDefault="00156290" w:rsidP="00156290">
      <w:pPr>
        <w:pStyle w:val="tkTekst"/>
      </w:pPr>
      <w:r>
        <w:t>При этом следует иметь в виду, что прокурор, государственные органы и органы местного самоуправления не имеют по делу материально-правового интереса, а обладают лишь процессуальным интересом к его исходу (</w:t>
      </w:r>
      <w:proofErr w:type="spellStart"/>
      <w:r>
        <w:t>ст.ст</w:t>
      </w:r>
      <w:proofErr w:type="spellEnd"/>
      <w:r>
        <w:t xml:space="preserve">. </w:t>
      </w:r>
      <w:hyperlink r:id="rId27" w:anchor="st_48" w:history="1">
        <w:r>
          <w:rPr>
            <w:rStyle w:val="a3"/>
          </w:rPr>
          <w:t>48</w:t>
        </w:r>
      </w:hyperlink>
      <w:r>
        <w:t xml:space="preserve">, </w:t>
      </w:r>
      <w:hyperlink r:id="rId28" w:anchor="st_49" w:history="1">
        <w:r>
          <w:rPr>
            <w:rStyle w:val="a3"/>
          </w:rPr>
          <w:t>49</w:t>
        </w:r>
      </w:hyperlink>
      <w:r>
        <w:t xml:space="preserve"> ГПК </w:t>
      </w:r>
      <w:proofErr w:type="gramStart"/>
      <w:r>
        <w:t>КР</w:t>
      </w:r>
      <w:proofErr w:type="gramEnd"/>
      <w:r>
        <w:t>). Однако они отнесены к лицам, участвующим в деле, и пользуются всеми процессуальными правами истца, за исключением права на заключение мирового соглашения.</w:t>
      </w:r>
    </w:p>
    <w:p w:rsidR="00156290" w:rsidRDefault="00156290" w:rsidP="00156290">
      <w:pPr>
        <w:pStyle w:val="tkTekst"/>
      </w:pPr>
      <w:r>
        <w:t>5.4. При выполнении задачи, связанной с представлением необходимых доказательств, судья разъясняет, на ком лежит обязанность доказывания тех или иных обстоятельств и по ходатайству сторон и других лиц, участвующих в деле, оказывает содействие в истребовании от организаций или граждан письменных и вещественных доказательств, аудио- и видеозаписи, имеющих значение для правильного разрешения дела. Доказательства представляются сторонами и другими лицами, участвующими в деле (</w:t>
      </w:r>
      <w:hyperlink r:id="rId29" w:anchor="st_66" w:history="1">
        <w:r>
          <w:rPr>
            <w:rStyle w:val="a3"/>
          </w:rPr>
          <w:t>ст.66</w:t>
        </w:r>
      </w:hyperlink>
      <w:r>
        <w:t xml:space="preserve"> ГПК </w:t>
      </w:r>
      <w:proofErr w:type="gramStart"/>
      <w:r>
        <w:t>КР</w:t>
      </w:r>
      <w:proofErr w:type="gramEnd"/>
      <w:r>
        <w:t>).</w:t>
      </w:r>
    </w:p>
    <w:p w:rsidR="00156290" w:rsidRDefault="00156290" w:rsidP="00156290">
      <w:pPr>
        <w:pStyle w:val="tkTekst"/>
      </w:pPr>
      <w:r>
        <w:lastRenderedPageBreak/>
        <w:t>При этом суд должен принимать только те из представляемых доказательств, которые имеют значение для дела (относимость доказательств) (</w:t>
      </w:r>
      <w:hyperlink r:id="rId30" w:anchor="st_68" w:history="1">
        <w:r>
          <w:rPr>
            <w:rStyle w:val="a3"/>
          </w:rPr>
          <w:t>ст.68</w:t>
        </w:r>
      </w:hyperlink>
      <w:r>
        <w:t xml:space="preserve"> ГПК </w:t>
      </w:r>
      <w:proofErr w:type="gramStart"/>
      <w:r>
        <w:t>КР</w:t>
      </w:r>
      <w:proofErr w:type="gramEnd"/>
      <w:r>
        <w:t>).</w:t>
      </w:r>
    </w:p>
    <w:p w:rsidR="00156290" w:rsidRDefault="00156290" w:rsidP="00156290">
      <w:pPr>
        <w:pStyle w:val="tkTekst"/>
      </w:pPr>
      <w:r>
        <w:t>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(допустимость доказательств) (</w:t>
      </w:r>
      <w:hyperlink r:id="rId31" w:anchor="st_69" w:history="1">
        <w:r>
          <w:rPr>
            <w:rStyle w:val="a3"/>
          </w:rPr>
          <w:t>ст.69</w:t>
        </w:r>
      </w:hyperlink>
      <w:r>
        <w:t xml:space="preserve"> ГПК </w:t>
      </w:r>
      <w:proofErr w:type="gramStart"/>
      <w:r>
        <w:t>КР</w:t>
      </w:r>
      <w:proofErr w:type="gramEnd"/>
      <w:r>
        <w:t>).</w:t>
      </w:r>
    </w:p>
    <w:p w:rsidR="00156290" w:rsidRDefault="00156290" w:rsidP="00156290">
      <w:pPr>
        <w:pStyle w:val="tkTekst"/>
      </w:pPr>
      <w:r>
        <w:t xml:space="preserve">Обратить внимание на обязанность суда разъяснить сторонам положение ч.1 </w:t>
      </w:r>
      <w:hyperlink r:id="rId32" w:anchor="st_77" w:history="1">
        <w:r>
          <w:rPr>
            <w:rStyle w:val="a3"/>
          </w:rPr>
          <w:t>ст.77</w:t>
        </w:r>
      </w:hyperlink>
      <w:r>
        <w:t xml:space="preserve"> ГПК </w:t>
      </w:r>
      <w:proofErr w:type="gramStart"/>
      <w:r>
        <w:t>КР</w:t>
      </w:r>
      <w:proofErr w:type="gramEnd"/>
      <w:r>
        <w:t xml:space="preserve"> о том, что суд может считать установленными обстоятельства, имеющие значение для дела, на основании объяснений, сообщенных одной стороной, если другая сторона удерживает у себя доказательство и не представляет по требованию суда.</w:t>
      </w:r>
    </w:p>
    <w:p w:rsidR="00156290" w:rsidRDefault="00156290" w:rsidP="00156290">
      <w:pPr>
        <w:pStyle w:val="tkTekst"/>
      </w:pPr>
      <w:r>
        <w:t xml:space="preserve">Следует иметь в виду, что в соответствии с ч.4 </w:t>
      </w:r>
      <w:hyperlink r:id="rId33" w:anchor="st_70" w:history="1">
        <w:r>
          <w:rPr>
            <w:rStyle w:val="a3"/>
          </w:rPr>
          <w:t>ст.70</w:t>
        </w:r>
      </w:hyperlink>
      <w:r>
        <w:t xml:space="preserve"> ГПК </w:t>
      </w:r>
      <w:proofErr w:type="gramStart"/>
      <w:r>
        <w:t>КР</w:t>
      </w:r>
      <w:proofErr w:type="gramEnd"/>
      <w:r>
        <w:t xml:space="preserve"> сторона не должна доказывать факты, которые не оспорены другой стороной. А согласно ч.2 </w:t>
      </w:r>
      <w:hyperlink r:id="rId34" w:anchor="st_77" w:history="1">
        <w:r>
          <w:rPr>
            <w:rStyle w:val="a3"/>
          </w:rPr>
          <w:t>ст.77</w:t>
        </w:r>
      </w:hyperlink>
      <w:r>
        <w:t xml:space="preserve"> ГПК </w:t>
      </w:r>
      <w:proofErr w:type="gramStart"/>
      <w:r>
        <w:t>КР</w:t>
      </w:r>
      <w:proofErr w:type="gramEnd"/>
      <w:r>
        <w:t xml:space="preserve">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w:t>
      </w:r>
    </w:p>
    <w:p w:rsidR="00156290" w:rsidRDefault="00156290" w:rsidP="00156290">
      <w:pPr>
        <w:pStyle w:val="tkTekst"/>
      </w:pPr>
      <w:r>
        <w:t>5.5. Одной из задач подготовки дела к судебному разбирательству является примирение сторон.</w:t>
      </w:r>
    </w:p>
    <w:p w:rsidR="00156290" w:rsidRDefault="00156290" w:rsidP="00156290">
      <w:pPr>
        <w:pStyle w:val="tkTekst"/>
      </w:pPr>
      <w:r>
        <w:t>Согласно принципу диспозитивности стороны вправе уже в этой стадии окончить дело мировым соглашением. Задача судьи состоит в разъяснении сторонам преимуществ окончания дела миром (частичная оплата госпошлины), а также то, что по своей юридической силе определение об утверждении мирового соглашения не уступает решению суда и, в случае необходимости, также подлежит принудительному исполнению. При этом большое значение имеет проверка условий мирового соглашения и разъяснение сторонам последствий его заключения и прекращения производства по делу, в том числе на предмет возможного исполнения (</w:t>
      </w:r>
      <w:proofErr w:type="spellStart"/>
      <w:r>
        <w:t>ст.ст</w:t>
      </w:r>
      <w:proofErr w:type="spellEnd"/>
      <w:r>
        <w:t xml:space="preserve">. </w:t>
      </w:r>
      <w:hyperlink r:id="rId35" w:anchor="st_43" w:history="1">
        <w:r>
          <w:rPr>
            <w:rStyle w:val="a3"/>
          </w:rPr>
          <w:t>43</w:t>
        </w:r>
      </w:hyperlink>
      <w:r>
        <w:t xml:space="preserve"> ч.4, </w:t>
      </w:r>
      <w:hyperlink r:id="rId36" w:anchor="st_175" w:history="1">
        <w:r>
          <w:rPr>
            <w:rStyle w:val="a3"/>
          </w:rPr>
          <w:t>175</w:t>
        </w:r>
      </w:hyperlink>
      <w:r>
        <w:t xml:space="preserve"> ГПК </w:t>
      </w:r>
      <w:proofErr w:type="gramStart"/>
      <w:r>
        <w:t>КР</w:t>
      </w:r>
      <w:proofErr w:type="gramEnd"/>
      <w:r>
        <w:t>).</w:t>
      </w:r>
    </w:p>
    <w:p w:rsidR="00156290" w:rsidRDefault="00156290" w:rsidP="00156290">
      <w:pPr>
        <w:pStyle w:val="tkTekst"/>
      </w:pPr>
      <w:r>
        <w:t xml:space="preserve">По соглашению сторон спор, подведомственный суду, может быть передан на рассмотрение третейскому суду. В этом случае судья обязан разъяснить сторонам право заключения соглашения о передаче спора на разрешение третейского суда, а также сущность третейского способа разрешения спора, порядок исполнения решения третейского суда, а также последствия прекращения производства по делу по этому основанию (п.10 </w:t>
      </w:r>
      <w:hyperlink r:id="rId37" w:anchor="st_220" w:history="1">
        <w:r>
          <w:rPr>
            <w:rStyle w:val="a3"/>
          </w:rPr>
          <w:t>ст.220</w:t>
        </w:r>
      </w:hyperlink>
      <w:r>
        <w:t xml:space="preserve"> ГПК </w:t>
      </w:r>
      <w:proofErr w:type="gramStart"/>
      <w:r>
        <w:t>КР</w:t>
      </w:r>
      <w:proofErr w:type="gramEnd"/>
      <w:r>
        <w:t>).</w:t>
      </w:r>
    </w:p>
    <w:p w:rsidR="00156290" w:rsidRDefault="00156290" w:rsidP="00156290">
      <w:pPr>
        <w:pStyle w:val="tkTekst"/>
      </w:pPr>
      <w:r>
        <w:t xml:space="preserve">Кроме того, судья разъясняет сторонам их право урегулировать спор посредством медиации и вправе направить стороны на обязательную информационную встречу с медиатором (п.13 </w:t>
      </w:r>
      <w:hyperlink r:id="rId38" w:anchor="st_153" w:history="1">
        <w:r>
          <w:rPr>
            <w:rStyle w:val="a3"/>
          </w:rPr>
          <w:t>ст.153</w:t>
        </w:r>
      </w:hyperlink>
      <w:r>
        <w:t xml:space="preserve"> ГПК </w:t>
      </w:r>
      <w:proofErr w:type="gramStart"/>
      <w:r>
        <w:t>КР</w:t>
      </w:r>
      <w:proofErr w:type="gramEnd"/>
      <w:r>
        <w:t>).</w:t>
      </w:r>
    </w:p>
    <w:p w:rsidR="00156290" w:rsidRDefault="00156290" w:rsidP="00156290">
      <w:pPr>
        <w:pStyle w:val="tkTekst"/>
      </w:pPr>
      <w:r>
        <w:t>6. Разъяснить судам, что в порядке подготовки дела к судебному разбирательству суд, разрешая вопрос об обеспечении иска, вправе принять меры к обеспечению иска только по заявлению лиц, участвующих в деле. Рассмотрение этих вопросов осуществляется в соответствии со ст.ст.</w:t>
      </w:r>
      <w:hyperlink r:id="rId39" w:anchor="st_142" w:history="1">
        <w:r>
          <w:rPr>
            <w:rStyle w:val="a3"/>
          </w:rPr>
          <w:t>142</w:t>
        </w:r>
      </w:hyperlink>
      <w:r>
        <w:t>-</w:t>
      </w:r>
      <w:hyperlink r:id="rId40" w:anchor="st_148" w:history="1">
        <w:r>
          <w:rPr>
            <w:rStyle w:val="a3"/>
          </w:rPr>
          <w:t>148</w:t>
        </w:r>
      </w:hyperlink>
      <w:r>
        <w:t xml:space="preserve"> ГПК КР.</w:t>
      </w:r>
    </w:p>
    <w:p w:rsidR="00156290" w:rsidRDefault="00156290" w:rsidP="00156290">
      <w:pPr>
        <w:pStyle w:val="tkTekst"/>
      </w:pPr>
      <w:r>
        <w:t>По всем вопросам обеспечения иска выносится определение, которое может быть обжаловано в порядке, предусмотренном ГПК КР.</w:t>
      </w:r>
    </w:p>
    <w:p w:rsidR="00156290" w:rsidRDefault="00156290" w:rsidP="00156290">
      <w:pPr>
        <w:pStyle w:val="tkTekst"/>
      </w:pPr>
      <w:r>
        <w:t>7. Обратить внимание судов, что помимо вышеперечисленных действий судья в порядке подготовки дела к судебному разбирательству разъясняет лицам, участвующим в деле, сторонам их процессуальные права и обязанности; в случаях, не терпящих отлагательства, производит с извещением лиц, участвующих в деле, осмотр на месте письменных и вещественных доказательств; направляет судебные поручения.</w:t>
      </w:r>
    </w:p>
    <w:p w:rsidR="00156290" w:rsidRDefault="00156290" w:rsidP="00156290">
      <w:pPr>
        <w:pStyle w:val="tkTekst"/>
      </w:pPr>
      <w:r>
        <w:t xml:space="preserve">8. Конкретные сроки подготовки дела к судебному разбирательству и назначения дела к судебному разбирательству гражданским процессуальным кодексом не </w:t>
      </w:r>
      <w:proofErr w:type="gramStart"/>
      <w:r>
        <w:t>предусмотрены</w:t>
      </w:r>
      <w:proofErr w:type="gramEnd"/>
      <w:r>
        <w:t xml:space="preserve"> и подготовка дела осуществляется в пределах общего срока рассмотрения дела.</w:t>
      </w:r>
    </w:p>
    <w:p w:rsidR="00156290" w:rsidRDefault="00156290" w:rsidP="00156290">
      <w:pPr>
        <w:pStyle w:val="tkTekst"/>
      </w:pPr>
      <w:r>
        <w:t xml:space="preserve">9. Обратить внимание судов, что в соответствии со </w:t>
      </w:r>
      <w:hyperlink r:id="rId41" w:anchor="st_154" w:history="1">
        <w:r>
          <w:rPr>
            <w:rStyle w:val="a3"/>
          </w:rPr>
          <w:t>ст.154</w:t>
        </w:r>
      </w:hyperlink>
      <w:r>
        <w:t xml:space="preserve"> ГПК </w:t>
      </w:r>
      <w:proofErr w:type="gramStart"/>
      <w:r>
        <w:t>КР</w:t>
      </w:r>
      <w:proofErr w:type="gramEnd"/>
      <w:r>
        <w:t xml:space="preserve"> введен новый институт - предварительное судебное заседание, которое проводится судьей при подготовке дела к судебному разбирательству. Такое заседание проводится по правилам судебного разбирательства, с изъятиями и дополнениями, установленными гл.15 ГПК КР.</w:t>
      </w:r>
    </w:p>
    <w:p w:rsidR="00156290" w:rsidRDefault="00156290" w:rsidP="00156290">
      <w:pPr>
        <w:pStyle w:val="tkTekst"/>
      </w:pPr>
      <w:r>
        <w:t>День, время и место проведения предварительного судебного заседания указываются в определении о подготовке дела к судебному разбирательству.</w:t>
      </w:r>
    </w:p>
    <w:p w:rsidR="00156290" w:rsidRDefault="00156290" w:rsidP="00156290">
      <w:pPr>
        <w:pStyle w:val="tkTekst"/>
      </w:pPr>
      <w:r>
        <w:lastRenderedPageBreak/>
        <w:t>Разъяснить судам, что отдельное определение о назначении предварительного судебного заседания не выносится.</w:t>
      </w:r>
    </w:p>
    <w:p w:rsidR="00156290" w:rsidRDefault="00156290" w:rsidP="00156290">
      <w:pPr>
        <w:pStyle w:val="tkTekst"/>
      </w:pPr>
      <w:r>
        <w:t>Стороны в предварительном судебном заседании имеют право представлять доказательства, приводить доводы, заявлять ходатайства.</w:t>
      </w:r>
    </w:p>
    <w:p w:rsidR="00156290" w:rsidRDefault="00156290" w:rsidP="00156290">
      <w:pPr>
        <w:pStyle w:val="tkTekst"/>
      </w:pPr>
      <w:r>
        <w:t xml:space="preserve">9.1. Стороны извещаются о дне, времени и месте предварительного судебного заседания заказным письмом с уведомлением (гл.12 ГПК </w:t>
      </w:r>
      <w:proofErr w:type="gramStart"/>
      <w:r>
        <w:t>КР</w:t>
      </w:r>
      <w:proofErr w:type="gramEnd"/>
      <w:r>
        <w:t>). Неявка лиц, участвующих в деле, не препятствует рассмотрению вопросов по подготовке дела в предварительном судебном заседании. Принудительный привод ответчика не допускается.</w:t>
      </w:r>
    </w:p>
    <w:p w:rsidR="00156290" w:rsidRDefault="00156290" w:rsidP="00156290">
      <w:pPr>
        <w:pStyle w:val="tkTekst"/>
      </w:pPr>
      <w:r>
        <w:t>Извещение участников процесса допускается также посредством СМС-сообщения, отправляемого с мобильного телефона, закрепленного для совершения таких действий. В этом случае необходимо их согласие и фиксация факта отправки и доставки СМС-извещения адресату. Согласие на уведомление таким способом оформляется письменным заявлением (распиской) лица с указанием номера его мобильного телефона.</w:t>
      </w:r>
    </w:p>
    <w:p w:rsidR="00156290" w:rsidRDefault="00156290" w:rsidP="00156290">
      <w:pPr>
        <w:pStyle w:val="tkTekst"/>
      </w:pPr>
      <w:r>
        <w:t>Разъяснить судам, что при подготовке дела к судебному разбирательству судья по ходатайству сторон разрешает вопрос о вызове свидетелей в судебное заседание. При вызове в судебное заседание несовершеннолетнего свидетеля также решает вопрос о вызове педагога или психолога, законных представителей несовершеннолетнего. Однако в предварительном судебном заседании свидетели, эксперты, специалисты не могут быть опрошены, поскольку оценка доказательств осуществляется лишь на стадии судебного разбирательства.</w:t>
      </w:r>
    </w:p>
    <w:p w:rsidR="00156290" w:rsidRDefault="00156290" w:rsidP="00156290">
      <w:pPr>
        <w:pStyle w:val="tkTekst"/>
      </w:pPr>
      <w:r>
        <w:t xml:space="preserve">9.2. При наличии обстоятельств, предусмотренных статьями </w:t>
      </w:r>
      <w:hyperlink r:id="rId42" w:anchor="st_215" w:history="1">
        <w:r>
          <w:rPr>
            <w:rStyle w:val="a3"/>
          </w:rPr>
          <w:t>215</w:t>
        </w:r>
      </w:hyperlink>
      <w:r>
        <w:t xml:space="preserve">, </w:t>
      </w:r>
      <w:hyperlink r:id="rId43" w:anchor="st_216" w:history="1">
        <w:r>
          <w:rPr>
            <w:rStyle w:val="a3"/>
          </w:rPr>
          <w:t>216</w:t>
        </w:r>
      </w:hyperlink>
      <w:r>
        <w:t xml:space="preserve">, </w:t>
      </w:r>
      <w:hyperlink r:id="rId44" w:anchor="st_220" w:history="1">
        <w:r>
          <w:rPr>
            <w:rStyle w:val="a3"/>
          </w:rPr>
          <w:t>220</w:t>
        </w:r>
      </w:hyperlink>
      <w:r>
        <w:t xml:space="preserve">, </w:t>
      </w:r>
      <w:hyperlink r:id="rId45" w:anchor="st_222" w:history="1">
        <w:r>
          <w:rPr>
            <w:rStyle w:val="a3"/>
          </w:rPr>
          <w:t>222</w:t>
        </w:r>
      </w:hyperlink>
      <w:r>
        <w:t xml:space="preserve"> ГПК </w:t>
      </w:r>
      <w:proofErr w:type="gramStart"/>
      <w:r>
        <w:t>КР</w:t>
      </w:r>
      <w:proofErr w:type="gramEnd"/>
      <w:r>
        <w:t xml:space="preserve">, в предварительном судебном заседании предусматривается приостановление или прекращение производства по делу либо оставление заявления без рассмотрения. В этих случаях суд выносит мотивированное определение, которое может быть обжаловано в случаях и порядке, предусмотренном </w:t>
      </w:r>
      <w:hyperlink r:id="rId46" w:history="1">
        <w:r>
          <w:rPr>
            <w:rStyle w:val="a3"/>
          </w:rPr>
          <w:t>ГПК</w:t>
        </w:r>
      </w:hyperlink>
      <w:r>
        <w:t xml:space="preserve"> КР.</w:t>
      </w:r>
    </w:p>
    <w:p w:rsidR="00156290" w:rsidRDefault="00156290" w:rsidP="00156290">
      <w:pPr>
        <w:pStyle w:val="tkTekst"/>
      </w:pPr>
      <w:r>
        <w:t xml:space="preserve">При этом необходимо иметь в виду, что суд не вправе оставить заявление без рассмотрения в предварительном судебном заседании по основаниям, предусмотренным пунктами 5 и 6 </w:t>
      </w:r>
      <w:hyperlink r:id="rId47" w:anchor="st_222" w:history="1">
        <w:r>
          <w:rPr>
            <w:rStyle w:val="a3"/>
          </w:rPr>
          <w:t>ст.222</w:t>
        </w:r>
      </w:hyperlink>
      <w:r>
        <w:t xml:space="preserve"> ГПК </w:t>
      </w:r>
      <w:proofErr w:type="gramStart"/>
      <w:r>
        <w:t>КР</w:t>
      </w:r>
      <w:proofErr w:type="gramEnd"/>
      <w:r>
        <w:t>, поскольку эти случаи касаются неявки участников процесса в судебное заседание на стадии судебного разбирательства, а не в предварительном судебном заседании.</w:t>
      </w:r>
    </w:p>
    <w:p w:rsidR="00156290" w:rsidRDefault="00156290" w:rsidP="00156290">
      <w:pPr>
        <w:pStyle w:val="tkTekst"/>
      </w:pPr>
      <w:r>
        <w:t>9.3. Следует отметить, что в предварительном судебном заседании возможно рассмотрение вопроса о применении исковой давности или срока обращения в суд в порядке, установленном законом, с обязательным участием истца.</w:t>
      </w:r>
    </w:p>
    <w:p w:rsidR="00156290" w:rsidRDefault="00156290" w:rsidP="00156290">
      <w:pPr>
        <w:pStyle w:val="tkTekst"/>
      </w:pPr>
      <w:r>
        <w:t xml:space="preserve">При установлении факта пропуска без уважительных причин срока обращения в суд или срока исковой давности судья принимает решение об отказе в иске без исследования иных фактических обстоятельств по делу (ч.6 </w:t>
      </w:r>
      <w:hyperlink r:id="rId48" w:anchor="st_154" w:history="1">
        <w:r>
          <w:rPr>
            <w:rStyle w:val="a3"/>
          </w:rPr>
          <w:t>ст.154</w:t>
        </w:r>
      </w:hyperlink>
      <w:r>
        <w:t xml:space="preserve"> ГПК </w:t>
      </w:r>
      <w:proofErr w:type="gramStart"/>
      <w:r>
        <w:t>КР</w:t>
      </w:r>
      <w:proofErr w:type="gramEnd"/>
      <w:r>
        <w:t>).</w:t>
      </w:r>
    </w:p>
    <w:p w:rsidR="00156290" w:rsidRDefault="00156290" w:rsidP="00156290">
      <w:pPr>
        <w:pStyle w:val="tkTekst"/>
      </w:pPr>
      <w:r>
        <w:t>Разъяснить судам, что в случае, если для вывода о пропуске истцом без уважительных причин срока исковой давности или срока обращения в суд отсутствуют достаточные основания, судья назначает дело к судебному разбирательству.</w:t>
      </w:r>
    </w:p>
    <w:p w:rsidR="00156290" w:rsidRDefault="00156290" w:rsidP="00156290">
      <w:pPr>
        <w:pStyle w:val="tkTekst"/>
      </w:pPr>
      <w:r>
        <w:t>В ходе судебного разбирательства ответчик вправе вновь заявить возражения (ходатайство) о пропуске истцом срока исковой давности или срока обращения в суд. Однако суд не может быть ограничен в исследовании обстоятельств дела, исходя из цели гражданского судопроизводства (</w:t>
      </w:r>
      <w:hyperlink r:id="rId49" w:anchor="st_3" w:history="1">
        <w:r>
          <w:rPr>
            <w:rStyle w:val="a3"/>
          </w:rPr>
          <w:t>ст.3</w:t>
        </w:r>
      </w:hyperlink>
      <w:r>
        <w:t xml:space="preserve"> ГПК </w:t>
      </w:r>
      <w:proofErr w:type="gramStart"/>
      <w:r>
        <w:t>КР</w:t>
      </w:r>
      <w:proofErr w:type="gramEnd"/>
      <w:r>
        <w:t>).</w:t>
      </w:r>
    </w:p>
    <w:p w:rsidR="00156290" w:rsidRDefault="00156290" w:rsidP="00156290">
      <w:pPr>
        <w:pStyle w:val="tkTekst"/>
      </w:pPr>
      <w:r>
        <w:t xml:space="preserve">9.4. В предварительном судебном заседании в случае признания иска ответчиком (ч.2 </w:t>
      </w:r>
      <w:hyperlink r:id="rId50" w:anchor="st_43" w:history="1">
        <w:r>
          <w:rPr>
            <w:rStyle w:val="a3"/>
          </w:rPr>
          <w:t>ст.43</w:t>
        </w:r>
      </w:hyperlink>
      <w:r>
        <w:t xml:space="preserve"> ГПК </w:t>
      </w:r>
      <w:proofErr w:type="gramStart"/>
      <w:r>
        <w:t>КР</w:t>
      </w:r>
      <w:proofErr w:type="gramEnd"/>
      <w:r>
        <w:t>) суд принимает решение об удовлетворении иска без исследования иных фактических обстоятельств по делу. При этом признание иска должно быть оформлено в письменном виде и приобщено к материалам дела.</w:t>
      </w:r>
    </w:p>
    <w:p w:rsidR="00156290" w:rsidRDefault="00156290" w:rsidP="00156290">
      <w:pPr>
        <w:pStyle w:val="tkTekst"/>
      </w:pPr>
      <w:r>
        <w:t>Следует иметь в виду, что по делам особого производства решения суда в предварительном судебном заседании не выносятся.</w:t>
      </w:r>
    </w:p>
    <w:p w:rsidR="00156290" w:rsidRDefault="00156290" w:rsidP="00156290">
      <w:pPr>
        <w:pStyle w:val="tkTekst"/>
      </w:pPr>
      <w:r>
        <w:t xml:space="preserve">9.5. Предварительное судебное заседание проводится один раз, но допускается объявление перерыва на срок, не превышающий 10 дней (ч.6 </w:t>
      </w:r>
      <w:hyperlink r:id="rId51" w:anchor="st_171" w:history="1">
        <w:r>
          <w:rPr>
            <w:rStyle w:val="a3"/>
          </w:rPr>
          <w:t>ст.171</w:t>
        </w:r>
      </w:hyperlink>
      <w:r>
        <w:t xml:space="preserve"> ГПК </w:t>
      </w:r>
      <w:proofErr w:type="gramStart"/>
      <w:r>
        <w:t>КР</w:t>
      </w:r>
      <w:proofErr w:type="gramEnd"/>
      <w:r>
        <w:t xml:space="preserve">). Количество перерывов законом не ограничено, однако судам следует не выходить за пределы срока, установленного для рассмотрения и разрешения дел, </w:t>
      </w:r>
      <w:proofErr w:type="gramStart"/>
      <w:r>
        <w:t>который</w:t>
      </w:r>
      <w:proofErr w:type="gramEnd"/>
      <w:r>
        <w:t xml:space="preserve"> может быть сокращенным (усеченным).</w:t>
      </w:r>
    </w:p>
    <w:p w:rsidR="00156290" w:rsidRDefault="00156290" w:rsidP="00156290">
      <w:pPr>
        <w:pStyle w:val="tkTekst"/>
      </w:pPr>
      <w:r>
        <w:lastRenderedPageBreak/>
        <w:t>В случае приостановления производства по делу в предварительном судебном заседании, после его возобновления возможно проведение повторного предварительного судебного заседания.</w:t>
      </w:r>
    </w:p>
    <w:p w:rsidR="00156290" w:rsidRDefault="00156290" w:rsidP="00156290">
      <w:pPr>
        <w:pStyle w:val="tkTekst"/>
      </w:pPr>
      <w:r>
        <w:t xml:space="preserve">9.6. При подготовленности дела к судебному разбирательству суд с согласия сторон проводит судебное разбирательство по делу непосредственно после предварительного судебного заседания, о чем выносится </w:t>
      </w:r>
      <w:proofErr w:type="gramStart"/>
      <w:r>
        <w:t>определение</w:t>
      </w:r>
      <w:proofErr w:type="gramEnd"/>
      <w:r>
        <w:t xml:space="preserve"> о назначении дела к судебному разбирательству. При этом вынесение отдельного определения не требуется и достаточно занесение его в протокол предварительного судебного заседания.</w:t>
      </w:r>
    </w:p>
    <w:p w:rsidR="00156290" w:rsidRDefault="00156290" w:rsidP="00156290">
      <w:pPr>
        <w:pStyle w:val="tkTekst"/>
      </w:pPr>
      <w:r>
        <w:t>Если же одна из сторон в предварительном судебном заседании не участвовала или одна из сторон не согласна на проведение судебного заседания непосредственно после предварительного судебного заседания, суд не вправе сразу (непосредственно) после предварительного заседания провести судебное разбирательство.</w:t>
      </w:r>
    </w:p>
    <w:p w:rsidR="00156290" w:rsidRDefault="00156290" w:rsidP="00156290">
      <w:pPr>
        <w:pStyle w:val="tkTekst"/>
      </w:pPr>
      <w:r>
        <w:t>В этом случае судья, признав дело подготовленным, выносит определение о назначении его к разбирательству в судебном заседании, извещает сторон и других участников процесса о дне, времени и месте рассмотрения дела (</w:t>
      </w:r>
      <w:hyperlink r:id="rId52" w:anchor="st_155" w:history="1">
        <w:r>
          <w:rPr>
            <w:rStyle w:val="a3"/>
          </w:rPr>
          <w:t>ст.155</w:t>
        </w:r>
      </w:hyperlink>
      <w:r>
        <w:t xml:space="preserve"> ГПК </w:t>
      </w:r>
      <w:proofErr w:type="gramStart"/>
      <w:r>
        <w:t>КР</w:t>
      </w:r>
      <w:proofErr w:type="gramEnd"/>
      <w:r>
        <w:t>). Определение о назначении дела к судебному разбирательству выносится без удаления в совещательную комнату и обжалованию не подлежит.</w:t>
      </w:r>
    </w:p>
    <w:p w:rsidR="00156290" w:rsidRDefault="00156290" w:rsidP="00156290">
      <w:pPr>
        <w:pStyle w:val="tkTekst"/>
      </w:pPr>
      <w:r>
        <w:t xml:space="preserve">9.7. В предварительном судебном заседании ведется протокол в соответствии с </w:t>
      </w:r>
      <w:hyperlink r:id="rId53" w:anchor="g22" w:history="1">
        <w:r>
          <w:rPr>
            <w:rStyle w:val="a3"/>
          </w:rPr>
          <w:t>гл.22</w:t>
        </w:r>
      </w:hyperlink>
      <w:r>
        <w:t xml:space="preserve"> ГПК КР.</w:t>
      </w:r>
    </w:p>
    <w:p w:rsidR="00156290" w:rsidRDefault="00156290" w:rsidP="00156290">
      <w:pPr>
        <w:pStyle w:val="tkTekst"/>
      </w:pPr>
      <w:r>
        <w:t>10. Обратить внимание судов на то, что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p>
    <w:p w:rsidR="00156290" w:rsidRDefault="00156290" w:rsidP="00156290">
      <w:pPr>
        <w:pStyle w:val="tkTekst"/>
      </w:pPr>
      <w:proofErr w:type="gramStart"/>
      <w:r>
        <w:t>Если же в производстве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и тому же ответчику, судья вправе объединить эти дела в одно производство для совместного рассмотрения, если такое объединение приведет к более быстрому и правильному рассмотрению споров (</w:t>
      </w:r>
      <w:hyperlink r:id="rId54" w:anchor="st_156" w:history="1">
        <w:r>
          <w:rPr>
            <w:rStyle w:val="a3"/>
          </w:rPr>
          <w:t>ст.156</w:t>
        </w:r>
        <w:proofErr w:type="gramEnd"/>
      </w:hyperlink>
      <w:r>
        <w:t xml:space="preserve"> ГПК </w:t>
      </w:r>
      <w:proofErr w:type="gramStart"/>
      <w:r>
        <w:t>КР</w:t>
      </w:r>
      <w:proofErr w:type="gramEnd"/>
      <w:r>
        <w:t>).</w:t>
      </w:r>
    </w:p>
    <w:p w:rsidR="00156290" w:rsidRDefault="00156290" w:rsidP="00156290">
      <w:pPr>
        <w:pStyle w:val="tkTekst"/>
      </w:pPr>
      <w:r>
        <w:t>Разъяснить судам, что не подлежат рассмотрению в одном производстве требования, подлежащие рассмотрению в порядке искового производства и ином порядке (например, особое производство или производство по административным делам), учитывая особенности их рассмотрения и вынесения решения.</w:t>
      </w:r>
    </w:p>
    <w:p w:rsidR="00156290" w:rsidRDefault="00156290" w:rsidP="00156290">
      <w:pPr>
        <w:pStyle w:val="tkTekst"/>
      </w:pPr>
      <w:r>
        <w:t>Определение судьи об объединении дел в одно производство или об их разъединении, а также об отказе в совершении этих действий обжалованию не подлежит.</w:t>
      </w:r>
    </w:p>
    <w:p w:rsidR="00156290" w:rsidRDefault="00156290" w:rsidP="00156290">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156290" w:rsidTr="00156290">
        <w:tc>
          <w:tcPr>
            <w:tcW w:w="1750" w:type="pct"/>
            <w:tcMar>
              <w:top w:w="0" w:type="dxa"/>
              <w:left w:w="567" w:type="dxa"/>
              <w:bottom w:w="0" w:type="dxa"/>
              <w:right w:w="108" w:type="dxa"/>
            </w:tcMar>
            <w:hideMark/>
          </w:tcPr>
          <w:p w:rsidR="00156290" w:rsidRDefault="00156290">
            <w:pPr>
              <w:pStyle w:val="tkPodpis"/>
            </w:pPr>
            <w:r>
              <w:t>Председатель Верховного суда Кыргызской Республики</w:t>
            </w:r>
          </w:p>
        </w:tc>
        <w:tc>
          <w:tcPr>
            <w:tcW w:w="1500" w:type="pct"/>
            <w:tcMar>
              <w:top w:w="0" w:type="dxa"/>
              <w:left w:w="108" w:type="dxa"/>
              <w:bottom w:w="0" w:type="dxa"/>
              <w:right w:w="108" w:type="dxa"/>
            </w:tcMar>
            <w:hideMark/>
          </w:tcPr>
          <w:p w:rsidR="00156290" w:rsidRDefault="00156290">
            <w:pPr>
              <w:spacing w:after="0"/>
              <w:rPr>
                <w:b/>
                <w:bCs/>
                <w:i/>
                <w:iCs/>
                <w:szCs w:val="24"/>
              </w:rPr>
            </w:pPr>
          </w:p>
        </w:tc>
        <w:tc>
          <w:tcPr>
            <w:tcW w:w="1750" w:type="pct"/>
            <w:tcMar>
              <w:top w:w="0" w:type="dxa"/>
              <w:left w:w="108" w:type="dxa"/>
              <w:bottom w:w="0" w:type="dxa"/>
              <w:right w:w="108" w:type="dxa"/>
            </w:tcMar>
            <w:vAlign w:val="bottom"/>
            <w:hideMark/>
          </w:tcPr>
          <w:p w:rsidR="00156290" w:rsidRDefault="00156290">
            <w:pPr>
              <w:pStyle w:val="tkPodpis"/>
            </w:pPr>
            <w:proofErr w:type="spellStart"/>
            <w:r>
              <w:t>А.Токбаева</w:t>
            </w:r>
            <w:proofErr w:type="spellEnd"/>
          </w:p>
        </w:tc>
      </w:tr>
      <w:tr w:rsidR="00156290" w:rsidTr="00156290">
        <w:tc>
          <w:tcPr>
            <w:tcW w:w="1750" w:type="pct"/>
            <w:tcMar>
              <w:top w:w="0" w:type="dxa"/>
              <w:left w:w="567" w:type="dxa"/>
              <w:bottom w:w="0" w:type="dxa"/>
              <w:right w:w="108" w:type="dxa"/>
            </w:tcMar>
            <w:hideMark/>
          </w:tcPr>
          <w:p w:rsidR="00156290" w:rsidRDefault="00156290">
            <w:pPr>
              <w:spacing w:after="0"/>
              <w:rPr>
                <w:b/>
                <w:bCs/>
                <w:i/>
                <w:iCs/>
                <w:szCs w:val="24"/>
              </w:rPr>
            </w:pPr>
          </w:p>
        </w:tc>
        <w:tc>
          <w:tcPr>
            <w:tcW w:w="1500" w:type="pct"/>
            <w:tcMar>
              <w:top w:w="0" w:type="dxa"/>
              <w:left w:w="108" w:type="dxa"/>
              <w:bottom w:w="0" w:type="dxa"/>
              <w:right w:w="108" w:type="dxa"/>
            </w:tcMar>
            <w:hideMark/>
          </w:tcPr>
          <w:p w:rsidR="00156290" w:rsidRDefault="00156290">
            <w:pPr>
              <w:spacing w:after="0"/>
              <w:rPr>
                <w:b/>
                <w:bCs/>
                <w:i/>
                <w:iCs/>
                <w:szCs w:val="24"/>
              </w:rPr>
            </w:pPr>
          </w:p>
        </w:tc>
        <w:tc>
          <w:tcPr>
            <w:tcW w:w="1750" w:type="pct"/>
            <w:tcMar>
              <w:top w:w="0" w:type="dxa"/>
              <w:left w:w="108" w:type="dxa"/>
              <w:bottom w:w="0" w:type="dxa"/>
              <w:right w:w="108" w:type="dxa"/>
            </w:tcMar>
            <w:vAlign w:val="bottom"/>
            <w:hideMark/>
          </w:tcPr>
          <w:p w:rsidR="00156290" w:rsidRDefault="00156290">
            <w:pPr>
              <w:spacing w:after="0"/>
              <w:rPr>
                <w:b/>
                <w:bCs/>
                <w:i/>
                <w:iCs/>
                <w:szCs w:val="24"/>
              </w:rPr>
            </w:pPr>
          </w:p>
        </w:tc>
      </w:tr>
      <w:tr w:rsidR="00156290" w:rsidTr="00156290">
        <w:tc>
          <w:tcPr>
            <w:tcW w:w="1750" w:type="pct"/>
            <w:tcMar>
              <w:top w:w="0" w:type="dxa"/>
              <w:left w:w="567" w:type="dxa"/>
              <w:bottom w:w="0" w:type="dxa"/>
              <w:right w:w="108" w:type="dxa"/>
            </w:tcMar>
            <w:hideMark/>
          </w:tcPr>
          <w:p w:rsidR="00156290" w:rsidRDefault="00156290">
            <w:pPr>
              <w:pStyle w:val="tkPodpis"/>
            </w:pPr>
            <w:r>
              <w:t>Секретарь Пленума,</w:t>
            </w:r>
            <w:r>
              <w:br/>
              <w:t>Судья Верховного суда Кыргызской Республики</w:t>
            </w:r>
          </w:p>
        </w:tc>
        <w:tc>
          <w:tcPr>
            <w:tcW w:w="1500" w:type="pct"/>
            <w:tcMar>
              <w:top w:w="0" w:type="dxa"/>
              <w:left w:w="108" w:type="dxa"/>
              <w:bottom w:w="0" w:type="dxa"/>
              <w:right w:w="108" w:type="dxa"/>
            </w:tcMar>
            <w:hideMark/>
          </w:tcPr>
          <w:p w:rsidR="00156290" w:rsidRDefault="00156290">
            <w:pPr>
              <w:spacing w:after="0"/>
              <w:rPr>
                <w:b/>
                <w:bCs/>
                <w:i/>
                <w:iCs/>
                <w:szCs w:val="24"/>
              </w:rPr>
            </w:pPr>
          </w:p>
        </w:tc>
        <w:tc>
          <w:tcPr>
            <w:tcW w:w="1750" w:type="pct"/>
            <w:tcMar>
              <w:top w:w="0" w:type="dxa"/>
              <w:left w:w="108" w:type="dxa"/>
              <w:bottom w:w="0" w:type="dxa"/>
              <w:right w:w="108" w:type="dxa"/>
            </w:tcMar>
            <w:vAlign w:val="bottom"/>
            <w:hideMark/>
          </w:tcPr>
          <w:p w:rsidR="00156290" w:rsidRDefault="00156290">
            <w:pPr>
              <w:pStyle w:val="tkPodpis"/>
            </w:pPr>
            <w:proofErr w:type="spellStart"/>
            <w:r>
              <w:t>К.Осмоналиев</w:t>
            </w:r>
            <w:proofErr w:type="spellEnd"/>
          </w:p>
        </w:tc>
      </w:tr>
    </w:tbl>
    <w:p w:rsidR="00156290" w:rsidRDefault="00156290" w:rsidP="00156290">
      <w:pPr>
        <w:pStyle w:val="tkTekst"/>
      </w:pPr>
      <w:r>
        <w:t> </w:t>
      </w:r>
    </w:p>
    <w:p w:rsidR="00156290" w:rsidRDefault="00156290"/>
    <w:sectPr w:rsidR="00156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90"/>
    <w:rsid w:val="00156290"/>
    <w:rsid w:val="00AF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156290"/>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156290"/>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156290"/>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156290"/>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156290"/>
    <w:pPr>
      <w:ind w:left="1134" w:right="1134"/>
      <w:jc w:val="center"/>
    </w:pPr>
    <w:rPr>
      <w:rFonts w:ascii="Arial" w:eastAsia="Times New Roman" w:hAnsi="Arial" w:cs="Arial"/>
      <w:b/>
      <w:bCs/>
      <w:caps/>
      <w:szCs w:val="24"/>
      <w:lang w:eastAsia="ru-RU"/>
    </w:rPr>
  </w:style>
  <w:style w:type="character" w:styleId="a3">
    <w:name w:val="Hyperlink"/>
    <w:basedOn w:val="a0"/>
    <w:uiPriority w:val="99"/>
    <w:semiHidden/>
    <w:unhideWhenUsed/>
    <w:rsid w:val="00156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156290"/>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156290"/>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156290"/>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156290"/>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156290"/>
    <w:pPr>
      <w:ind w:left="1134" w:right="1134"/>
      <w:jc w:val="center"/>
    </w:pPr>
    <w:rPr>
      <w:rFonts w:ascii="Arial" w:eastAsia="Times New Roman" w:hAnsi="Arial" w:cs="Arial"/>
      <w:b/>
      <w:bCs/>
      <w:caps/>
      <w:szCs w:val="24"/>
      <w:lang w:eastAsia="ru-RU"/>
    </w:rPr>
  </w:style>
  <w:style w:type="character" w:styleId="a3">
    <w:name w:val="Hyperlink"/>
    <w:basedOn w:val="a0"/>
    <w:uiPriority w:val="99"/>
    <w:semiHidden/>
    <w:unhideWhenUsed/>
    <w:rsid w:val="00156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40345" TargetMode="External"/><Relationship Id="rId18" Type="http://schemas.openxmlformats.org/officeDocument/2006/relationships/hyperlink" Target="toktom://db/140345" TargetMode="External"/><Relationship Id="rId26" Type="http://schemas.openxmlformats.org/officeDocument/2006/relationships/hyperlink" Target="toktom://db/140345" TargetMode="External"/><Relationship Id="rId39" Type="http://schemas.openxmlformats.org/officeDocument/2006/relationships/hyperlink" Target="toktom://db/140345" TargetMode="External"/><Relationship Id="rId21" Type="http://schemas.openxmlformats.org/officeDocument/2006/relationships/hyperlink" Target="toktom://db/140345" TargetMode="External"/><Relationship Id="rId34" Type="http://schemas.openxmlformats.org/officeDocument/2006/relationships/hyperlink" Target="toktom://db/140345" TargetMode="External"/><Relationship Id="rId42" Type="http://schemas.openxmlformats.org/officeDocument/2006/relationships/hyperlink" Target="toktom://db/140345" TargetMode="External"/><Relationship Id="rId47" Type="http://schemas.openxmlformats.org/officeDocument/2006/relationships/hyperlink" Target="toktom://db/140345" TargetMode="External"/><Relationship Id="rId50" Type="http://schemas.openxmlformats.org/officeDocument/2006/relationships/hyperlink" Target="toktom://db/140345" TargetMode="External"/><Relationship Id="rId55" Type="http://schemas.openxmlformats.org/officeDocument/2006/relationships/fontTable" Target="fontTable.xml"/><Relationship Id="rId7" Type="http://schemas.openxmlformats.org/officeDocument/2006/relationships/hyperlink" Target="toktom://db/140345" TargetMode="External"/><Relationship Id="rId2" Type="http://schemas.microsoft.com/office/2007/relationships/stylesWithEffects" Target="stylesWithEffects.xml"/><Relationship Id="rId16" Type="http://schemas.openxmlformats.org/officeDocument/2006/relationships/hyperlink" Target="toktom://db/140345" TargetMode="External"/><Relationship Id="rId29" Type="http://schemas.openxmlformats.org/officeDocument/2006/relationships/hyperlink" Target="toktom://db/140345" TargetMode="External"/><Relationship Id="rId11" Type="http://schemas.openxmlformats.org/officeDocument/2006/relationships/hyperlink" Target="toktom://db/140345" TargetMode="External"/><Relationship Id="rId24" Type="http://schemas.openxmlformats.org/officeDocument/2006/relationships/hyperlink" Target="toktom://db/140345" TargetMode="External"/><Relationship Id="rId32" Type="http://schemas.openxmlformats.org/officeDocument/2006/relationships/hyperlink" Target="toktom://db/140345" TargetMode="External"/><Relationship Id="rId37" Type="http://schemas.openxmlformats.org/officeDocument/2006/relationships/hyperlink" Target="toktom://db/140345" TargetMode="External"/><Relationship Id="rId40" Type="http://schemas.openxmlformats.org/officeDocument/2006/relationships/hyperlink" Target="toktom://db/140345" TargetMode="External"/><Relationship Id="rId45" Type="http://schemas.openxmlformats.org/officeDocument/2006/relationships/hyperlink" Target="toktom://db/140345" TargetMode="External"/><Relationship Id="rId53" Type="http://schemas.openxmlformats.org/officeDocument/2006/relationships/hyperlink" Target="toktom://db/140345" TargetMode="External"/><Relationship Id="rId5" Type="http://schemas.openxmlformats.org/officeDocument/2006/relationships/hyperlink" Target="toktom://db/42813" TargetMode="External"/><Relationship Id="rId10" Type="http://schemas.openxmlformats.org/officeDocument/2006/relationships/hyperlink" Target="toktom://db/140345" TargetMode="External"/><Relationship Id="rId19" Type="http://schemas.openxmlformats.org/officeDocument/2006/relationships/hyperlink" Target="toktom://db/140345" TargetMode="External"/><Relationship Id="rId31" Type="http://schemas.openxmlformats.org/officeDocument/2006/relationships/hyperlink" Target="toktom://db/140345" TargetMode="External"/><Relationship Id="rId44" Type="http://schemas.openxmlformats.org/officeDocument/2006/relationships/hyperlink" Target="toktom://db/140345" TargetMode="External"/><Relationship Id="rId52" Type="http://schemas.openxmlformats.org/officeDocument/2006/relationships/hyperlink" Target="toktom://db/140345" TargetMode="External"/><Relationship Id="rId4" Type="http://schemas.openxmlformats.org/officeDocument/2006/relationships/webSettings" Target="webSettings.xml"/><Relationship Id="rId9" Type="http://schemas.openxmlformats.org/officeDocument/2006/relationships/hyperlink" Target="toktom://db/140345" TargetMode="External"/><Relationship Id="rId14" Type="http://schemas.openxmlformats.org/officeDocument/2006/relationships/hyperlink" Target="toktom://db/140345" TargetMode="External"/><Relationship Id="rId22" Type="http://schemas.openxmlformats.org/officeDocument/2006/relationships/hyperlink" Target="toktom://db/140345" TargetMode="External"/><Relationship Id="rId27" Type="http://schemas.openxmlformats.org/officeDocument/2006/relationships/hyperlink" Target="toktom://db/140345" TargetMode="External"/><Relationship Id="rId30" Type="http://schemas.openxmlformats.org/officeDocument/2006/relationships/hyperlink" Target="toktom://db/140345" TargetMode="External"/><Relationship Id="rId35" Type="http://schemas.openxmlformats.org/officeDocument/2006/relationships/hyperlink" Target="toktom://db/140345" TargetMode="External"/><Relationship Id="rId43" Type="http://schemas.openxmlformats.org/officeDocument/2006/relationships/hyperlink" Target="toktom://db/140345" TargetMode="External"/><Relationship Id="rId48" Type="http://schemas.openxmlformats.org/officeDocument/2006/relationships/hyperlink" Target="toktom://db/140345" TargetMode="External"/><Relationship Id="rId56" Type="http://schemas.openxmlformats.org/officeDocument/2006/relationships/theme" Target="theme/theme1.xml"/><Relationship Id="rId8" Type="http://schemas.openxmlformats.org/officeDocument/2006/relationships/hyperlink" Target="toktom://db/140345" TargetMode="External"/><Relationship Id="rId51" Type="http://schemas.openxmlformats.org/officeDocument/2006/relationships/hyperlink" Target="toktom://db/140345" TargetMode="External"/><Relationship Id="rId3" Type="http://schemas.openxmlformats.org/officeDocument/2006/relationships/settings" Target="settings.xml"/><Relationship Id="rId12" Type="http://schemas.openxmlformats.org/officeDocument/2006/relationships/hyperlink" Target="toktom://db/140345" TargetMode="External"/><Relationship Id="rId17" Type="http://schemas.openxmlformats.org/officeDocument/2006/relationships/hyperlink" Target="toktom://db/140345" TargetMode="External"/><Relationship Id="rId25" Type="http://schemas.openxmlformats.org/officeDocument/2006/relationships/hyperlink" Target="toktom://db/140345" TargetMode="External"/><Relationship Id="rId33" Type="http://schemas.openxmlformats.org/officeDocument/2006/relationships/hyperlink" Target="toktom://db/140345" TargetMode="External"/><Relationship Id="rId38" Type="http://schemas.openxmlformats.org/officeDocument/2006/relationships/hyperlink" Target="toktom://db/140345" TargetMode="External"/><Relationship Id="rId46" Type="http://schemas.openxmlformats.org/officeDocument/2006/relationships/hyperlink" Target="toktom://db/140345" TargetMode="External"/><Relationship Id="rId20" Type="http://schemas.openxmlformats.org/officeDocument/2006/relationships/hyperlink" Target="toktom://db/140345" TargetMode="External"/><Relationship Id="rId41" Type="http://schemas.openxmlformats.org/officeDocument/2006/relationships/hyperlink" Target="toktom://db/140345" TargetMode="External"/><Relationship Id="rId54" Type="http://schemas.openxmlformats.org/officeDocument/2006/relationships/hyperlink" Target="toktom://db/140345" TargetMode="External"/><Relationship Id="rId1" Type="http://schemas.openxmlformats.org/officeDocument/2006/relationships/styles" Target="styles.xml"/><Relationship Id="rId6" Type="http://schemas.openxmlformats.org/officeDocument/2006/relationships/hyperlink" Target="toktom://db/140345" TargetMode="External"/><Relationship Id="rId15" Type="http://schemas.openxmlformats.org/officeDocument/2006/relationships/hyperlink" Target="toktom://db/140345" TargetMode="External"/><Relationship Id="rId23" Type="http://schemas.openxmlformats.org/officeDocument/2006/relationships/hyperlink" Target="toktom://db/140345" TargetMode="External"/><Relationship Id="rId28" Type="http://schemas.openxmlformats.org/officeDocument/2006/relationships/hyperlink" Target="toktom://db/140345" TargetMode="External"/><Relationship Id="rId36" Type="http://schemas.openxmlformats.org/officeDocument/2006/relationships/hyperlink" Target="toktom://db/140345" TargetMode="External"/><Relationship Id="rId49" Type="http://schemas.openxmlformats.org/officeDocument/2006/relationships/hyperlink" Target="toktom://db/14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1</cp:revision>
  <dcterms:created xsi:type="dcterms:W3CDTF">2024-07-26T04:01:00Z</dcterms:created>
  <dcterms:modified xsi:type="dcterms:W3CDTF">2024-07-26T04:01:00Z</dcterms:modified>
</cp:coreProperties>
</file>